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svg" ContentType="image/svg+xml"/>
  <Override PartName="/word/media/rId46.svg" ContentType="image/svg+xml"/>
  <Override PartName="/word/media/rId61.svg" ContentType="image/svg+xml"/>
  <Override PartName="/word/media/rId128.svg" ContentType="image/svg+xml"/>
  <Override PartName="/word/media/rId124.svg" ContentType="image/svg+xml"/>
  <Override PartName="/word/media/rId56.svg" ContentType="image/svg+xml"/>
  <Override PartName="/word/media/rId19.svg" ContentType="image/svg+xml"/>
  <Override PartName="/word/media/rId131.svg" ContentType="image/svg+xml"/>
  <Override PartName="/word/media/rId83.svg" ContentType="image/svg+xml"/>
  <Override PartName="/word/media/rId66.svg" ContentType="image/svg+xml"/>
  <Override PartName="/word/media/rId22.svg" ContentType="image/svg+xml"/>
  <Override PartName="/word/media/rId26.svg" ContentType="image/svg+xml"/>
  <Override PartName="/word/media/rId10.svg" ContentType="image/svg+xml"/>
  <Override PartName="/word/media/rId13.svg" ContentType="image/svg+xml"/>
  <Override PartName="/word/media/rId53.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&amp;amp; Privacy</w:t>
      </w:r>
    </w:p>
    <w:bookmarkStart w:id="137" w:name="data-amp-privacy"/>
    <w:p>
      <w:pPr>
        <w:pStyle w:val="Heading1"/>
      </w:pPr>
      <w:r>
        <w:t xml:space="preserve">Data &amp;amp; Privacy</w:t>
      </w:r>
    </w:p>
    <w:bookmarkStart w:id="136" w:name="nd-docs-layout"/>
    <w:bookmarkStart w:id="16" w:name="nd-subnav"/>
    <w:p>
      <w:pPr>
        <w:pStyle w:val="FirstParagraph"/>
      </w:pPr>
      <w:hyperlink r:id="rId9">
        <w:r>
          <w:rPr>
            <w:rStyle w:val="Hyperlink"/>
          </w:rPr>
          <w:t xml:space="preserve">IntuneAssistant Docs</w:t>
        </w:r>
      </w:hyperlink>
    </w:p>
    <w:p>
      <w:pPr>
        <w:pStyle w:val="BodyText"/>
      </w:pPr>
      <w:r>
        <w:drawing>
          <wp:inline>
            <wp:extent cx="228600" cy="228600"/>
            <wp:effectExtent b="0" l="0" r="0" t="0"/>
            <wp:docPr descr="" title="" id="1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PjxjaXJjbGUgY3g9IjExIiBjeT0iMTEiIHI9IjgiPjwvY2lyY2xlPjxwYXRoIGQ9Im0yMSAyMS00LjMtNC4zIiAvPjwvc3ZnPg==" id="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drawing>
          <wp:inline>
            <wp:extent cx="228600" cy="228600"/>
            <wp:effectExtent b="0" l="0" r="0" t="0"/>
            <wp:docPr descr="" title="" id="1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PHBhdGggZD0iTTkgM3YxOCIgLz48L3N2Zz4=" id="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6"/>
    <w:p>
      <w:pPr>
        <w:pStyle w:val="BodyText"/>
      </w:pPr>
      <w:hyperlink r:id="rId9">
        <w:r>
          <w:rPr>
            <w:rStyle w:val="Hyperlink"/>
          </w:rPr>
          <w:t xml:space="preserve">IntuneAssistant Docs</w:t>
        </w:r>
      </w:hyperlink>
    </w:p>
    <w:p>
      <w:pPr>
        <w:pStyle w:val="BodyText"/>
      </w:pPr>
      <w:r>
        <w:drawing>
          <wp:inline>
            <wp:extent cx="228600" cy="228600"/>
            <wp:effectExtent b="0" l="0" r="0" t="0"/>
            <wp:docPr descr="" title="" id="1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PHBhdGggZD0iTTkgM3YxOCIgLz48L3N2Zz4=" id="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drawing>
          <wp:inline>
            <wp:extent cx="228600" cy="228600"/>
            <wp:effectExtent b="0" l="0" r="0" t="0"/>
            <wp:docPr descr="" title="" id="2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zaXplLTQiPjxjaXJjbGUgY3g9IjExIiBjeT0iMTEiIHI9IjgiPjwvY2lyY2xlPjxwYXRoIGQ9Im0yMSAyMS00LjMtNC4zIiAvPjwvc3ZnPg==" id="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Search</w:t>
      </w:r>
    </w:p>
    <w:p>
      <w:pPr>
        <w:pStyle w:val="BodyText"/>
      </w:pPr>
      <w:r>
        <w:t xml:space="preserve">⌘</w:t>
      </w:r>
      <w:r>
        <w:t xml:space="preserve">K</w:t>
      </w:r>
    </w:p>
    <w:p>
      <w:pPr>
        <w:pStyle w:val="BodyText"/>
      </w:pPr>
      <w:r>
        <w:t xml:space="preserve">Getting Started</w:t>
      </w:r>
      <w:r>
        <w:drawing>
          <wp:inline>
            <wp:extent cx="228600" cy="228600"/>
            <wp:effectExtent b="0" l="0" r="0" t="0"/>
            <wp:docPr descr="" title="" id="2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PHBhdGggZD0ibTYgOSA2IDYgNi02IiAvPjwvc3ZnPg==" id="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25" w:name="radix-_R_qd5aitqlb_"/>
    <w:bookmarkEnd w:id="25"/>
    <w:p>
      <w:pPr>
        <w:pStyle w:val="BodyText"/>
      </w:pPr>
      <w:r>
        <w:t xml:space="preserve">Administration</w:t>
      </w:r>
      <w:r>
        <w:drawing>
          <wp:inline>
            <wp:extent cx="228600" cy="228600"/>
            <wp:effectExtent b="0" l="0" r="0" t="0"/>
            <wp:docPr descr="" title="" id="2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iPjxwYXRoIGQ9Im02IDkgNiA2IDYtNiIgLz48L3N2Zz4="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31" w:name="radix-_R_1ad5aitqlb_"/>
    <w:p>
      <w:pPr>
        <w:pStyle w:val="BodyText"/>
      </w:pPr>
      <w:hyperlink r:id="rId29">
        <w:r>
          <w:rPr>
            <w:rStyle w:val="Hyperlink"/>
          </w:rPr>
          <w:t xml:space="preserve">User Access Control &amp; PIM Integration</w:t>
        </w:r>
      </w:hyperlink>
      <w:hyperlink r:id="rId30">
        <w:r>
          <w:rPr>
            <w:rStyle w:val="Hyperlink"/>
          </w:rPr>
          <w:t xml:space="preserve">Data &amp; Privacy</w:t>
        </w:r>
      </w:hyperlink>
    </w:p>
    <w:bookmarkEnd w:id="31"/>
    <w:p>
      <w:pPr>
        <w:pStyle w:val="BodyText"/>
      </w:pPr>
      <w:r>
        <w:t xml:space="preserve">Intune Assistant</w:t>
      </w:r>
      <w:r>
        <w:drawing>
          <wp:inline>
            <wp:extent cx="228600" cy="228600"/>
            <wp:effectExtent b="0" l="0" r="0" t="0"/>
            <wp:docPr descr="" title="" id="3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PHBhdGggZD0ibTYgOSA2IDYgNi02IiAvPjwvc3ZnPg==" id="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34" w:name="radix-_R_1qd5aitqlb_"/>
    <w:bookmarkEnd w:id="34"/>
    <w:p>
      <w:pPr>
        <w:pStyle w:val="BodyText"/>
      </w:pPr>
      <w:r>
        <w:t xml:space="preserve">Extensions</w:t>
      </w:r>
      <w:r>
        <w:drawing>
          <wp:inline>
            <wp:extent cx="228600" cy="228600"/>
            <wp:effectExtent b="0" l="0" r="0" t="0"/>
            <wp:docPr descr="" title="" id="3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PHBhdGggZD0ibTYgOSA2IDYgNi02IiAvPjwvc3ZnPg==" id="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37" w:name="radix-_R_2ad5aitqlb_"/>
    <w:bookmarkEnd w:id="37"/>
    <w:p>
      <w:pPr>
        <w:pStyle w:val="BodyText"/>
      </w:pPr>
      <w:r>
        <w:t xml:space="preserve">Muti-Tenant Management (MSP)</w:t>
      </w:r>
      <w:r>
        <w:drawing>
          <wp:inline>
            <wp:extent cx="228600" cy="228600"/>
            <wp:effectExtent b="0" l="0" r="0" t="0"/>
            <wp:docPr descr="" title="" id="3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PHBhdGggZD0ibTYgOSA2IDYgNi02IiAvPjwvc3ZnPg==" id="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40" w:name="radix-_R_2qd5aitqlb_"/>
    <w:bookmarkEnd w:id="40"/>
    <w:p>
      <w:pPr>
        <w:pStyle w:val="BodyText"/>
      </w:pPr>
      <w:hyperlink r:id="rId41">
        <w:r>
          <w:rPr>
            <w:rStyle w:val="Hyperlink"/>
          </w:rPr>
          <w:t xml:space="preserve">Frequently Asked Questions</w:t>
        </w:r>
      </w:hyperlink>
      <w:hyperlink r:id="rId42">
        <w:r>
          <w:rPr>
            <w:rStyle w:val="Hyperlink"/>
          </w:rPr>
          <w:t xml:space="preserve">Support</w:t>
        </w:r>
      </w:hyperlink>
    </w:p>
    <w:p>
      <w:pPr>
        <w:pStyle w:val="BodyText"/>
      </w:pPr>
      <w:r>
        <w:drawing>
          <wp:inline>
            <wp:extent cx="228600" cy="228600"/>
            <wp:effectExtent b="0" l="0" r="0" t="0"/>
            <wp:docPr descr="" title="" id="44" name="Picture"/>
            <a:graphic>
              <a:graphicData uri="http://schemas.openxmlformats.org/drawingml/2006/picture">
                <pic:pic>
                  <pic:nvPicPr>
                    <pic:cNvPr descr="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" id="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bwMode="auto">
                    <a:xfrm>
                      <a:off x="0" y="0"/>
                      <a:ext cx="228600" cy="228600"/>
                    </a:xfrm>
                    <a:prstGeom prst="rect">
                      <a:avLst/>
                    </a:prstGeom>
                    <a:noFill/>
                    <a:ln w="9525">
                      <a:noFill/>
                      <a:headEnd/>
                      <a:tailEnd/>
                    </a:ln>
                  </pic:spPr>
                </pic:pic>
              </a:graphicData>
            </a:graphic>
          </wp:inline>
        </w:drawing>
      </w:r>
      <w:r>
        <w:drawing>
          <wp:inline>
            <wp:extent cx="228600" cy="228600"/>
            <wp:effectExtent b="0" l="0" r="0" t="0"/>
            <wp:docPr descr="" title="" id="47" name="Picture"/>
            <a:graphic>
              <a:graphicData uri="http://schemas.openxmlformats.org/drawingml/2006/picture">
                <pic:pic>
                  <pic:nvPicPr>
                    <pic:cNvPr descr="data:image/svg+xml;base64,PHN2ZyB4bWxucz0iaHR0cDovL3d3dy53My5vcmcvMjAwMC9zdmciIHdpZHRoPSIyNCIgaGVpZ2h0PSIyNCIgdmlld2JveD0iMCAwIDI0IDI0IiBmaWxsPSJjdXJyZW50Q29sb3IiIHN0cm9rZT0iY3VycmVudENvbG9yIiBzdHJva2Utd2lkdGg9IjIiIHN0cm9rZS1saW5lY2FwPSJyb3VuZCIgc3Ryb2tlLWxpbmVqb2luPSJyb3VuZCIgY2xhc3M9InNpemUtNi41IHJvdW5kZWQtZnVsbCBwLTEuNSB0ZXh0LWZkLW11dGVkLWZvcmVncm91bmQiPjxwYXRoIGQ9Ik0xMiAzYTYgNiAwIDAgMCA5IDkgOSA5IDAgMSAxLTktOVoiIC8+PC9zdmc+" id="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drawing>
          <wp:inline>
            <wp:extent cx="228600" cy="228600"/>
            <wp:effectExtent b="0" l="0" r="0" t="0"/>
            <wp:docPr descr="" title="" id="4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PHBhdGggZD0iTTkgM3YxOCIgLz48L3N2Zz4=" id="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drawing>
          <wp:inline>
            <wp:extent cx="228600" cy="228600"/>
            <wp:effectExtent b="0" l="0" r="0" t="0"/>
            <wp:docPr descr="" title="" id="5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PjxjaXJjbGUgY3g9IjExIiBjeT0iMTEiIHI9IjgiPjwvY2lyY2xlPjxwYXRoIGQ9Im0yMSAyMS00LjMtNC4zIiAvPjwvc3ZnPg==" id="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drawing>
          <wp:inline>
            <wp:extent cx="3810000" cy="2540000"/>
            <wp:effectExtent b="0" l="0" r="0" t="0"/>
            <wp:docPr descr="" title="" id="54" name="Picture"/>
            <a:graphic>
              <a:graphicData uri="http://schemas.openxmlformats.org/drawingml/2006/picture">
                <pic:pic>
                  <pic:nvPicPr>
                    <pic:cNvPr descr="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" id="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bwMode="auto">
                    <a:xfrm>
                      <a:off x="0" y="0"/>
                      <a:ext cx="3810000" cy="2540000"/>
                    </a:xfrm>
                    <a:prstGeom prst="rect">
                      <a:avLst/>
                    </a:prstGeom>
                    <a:noFill/>
                    <a:ln w="9525">
                      <a:noFill/>
                      <a:headEnd/>
                      <a:tailEnd/>
                    </a:ln>
                  </pic:spPr>
                </pic:pic>
              </a:graphicData>
            </a:graphic>
          </wp:inline>
        </w:drawing>
      </w:r>
      <w:r>
        <w:t xml:space="preserve">Data &amp; Privacy</w:t>
      </w:r>
      <w:r>
        <w:drawing>
          <wp:inline>
            <wp:extent cx="228600" cy="228600"/>
            <wp:effectExtent b="0" l="0" r="0" t="0"/>
            <wp:docPr descr="" title="" id="5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zaHJpbmstMCB0cmFuc2l0aW9uLXRyYW5zZm9ybSBteC0wLjUiPjxwYXRoIGQ9Im02IDkgNiA2IDYtNiIgLz48L3N2Zz4=" id="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59" w:name="radix-_R_pbn5riitqlb_"/>
    <w:bookmarkEnd w:id="59"/>
    <w:p>
      <w:pPr>
        <w:pStyle w:val="BodyText"/>
      </w:pPr>
      <w:r>
        <w:t xml:space="preserve">Administration</w:t>
      </w:r>
    </w:p>
    <w:bookmarkStart w:id="60" w:name="data-privacy"/>
    <w:p>
      <w:pPr>
        <w:pStyle w:val="Heading1"/>
      </w:pPr>
      <w:r>
        <w:t xml:space="preserve">Data &amp; Privacy</w:t>
      </w:r>
    </w:p>
    <w:p>
      <w:pPr>
        <w:pStyle w:val="FirstParagraph"/>
      </w:pPr>
      <w:r>
        <w:t xml:space="preserve">Our commitment to data privacy and security with minimal data storage and no data leaving your tenant</w:t>
      </w:r>
    </w:p>
    <w:bookmarkEnd w:id="60"/>
    <w:bookmarkStart w:id="123" w:name="data--privacy"/>
    <w:p>
      <w:pPr>
        <w:pStyle w:val="Heading1"/>
      </w:pPr>
      <w:hyperlink w:anchor="data--privacy">
        <w:r>
          <w:rPr>
            <w:rStyle w:val="Hyperlink"/>
          </w:rPr>
          <w:t xml:space="preserve">Data &amp; Privacy</w:t>
        </w:r>
      </w:hyperlink>
      <w:r>
        <w:drawing>
          <wp:inline>
            <wp:extent cx="228600" cy="228600"/>
            <wp:effectExtent b="0" l="0" r="0" t="0"/>
            <wp:docPr descr="" title="" id="6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FirstParagraph"/>
      </w:pPr>
      <w:r>
        <w:t xml:space="preserve">Intune Assistant is built with privacy by design. Our core principle is that</w:t>
      </w:r>
      <w:r>
        <w:t xml:space="preserve"> </w:t>
      </w:r>
      <w:r>
        <w:rPr>
          <w:b/>
          <w:bCs/>
        </w:rPr>
        <w:t xml:space="preserve">your data stays in your tenant</w:t>
      </w:r>
      <w:r>
        <w:t xml:space="preserve"> </w:t>
      </w:r>
      <w:r>
        <w:t xml:space="preserve">- we process everything in memory and store only the absolute minimum required for licensing and identification.</w:t>
      </w:r>
    </w:p>
    <w:bookmarkStart w:id="69" w:name="our-privacy-commitment"/>
    <w:p>
      <w:pPr>
        <w:pStyle w:val="Heading2"/>
      </w:pPr>
      <w:hyperlink w:anchor="our-privacy-commitment">
        <w:r>
          <w:rPr>
            <w:rStyle w:val="Hyperlink"/>
          </w:rPr>
          <w:t xml:space="preserve">Our Privacy Commitment</w:t>
        </w:r>
      </w:hyperlink>
      <w:r>
        <w:drawing>
          <wp:inline>
            <wp:extent cx="228600" cy="228600"/>
            <wp:effectExtent b="0" l="0" r="0" t="0"/>
            <wp:docPr descr="" title="" id="6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FirstParagraph"/>
      </w:pPr>
      <w:r>
        <w:drawing>
          <wp:inline>
            <wp:extent cx="228600" cy="228600"/>
            <wp:effectExtent b="0" l="0" r="0" t="0"/>
            <wp:docPr descr="" title="" id="6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PGNpcmNsZSBjeD0iMTIiIGN5PSIxMiIgcj0iMTAiPjwvY2lyY2xlPjxwYXRoIGQ9Im05IDEyIDIgMiA0LTQiIC8+PC9zdmc+" id="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6"/>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Zero Data Extraction</w:t>
      </w:r>
    </w:p>
    <w:p>
      <w:pPr>
        <w:pStyle w:val="BodyText"/>
      </w:pPr>
      <w:r>
        <w:rPr>
          <w:b/>
          <w:bCs/>
        </w:rPr>
        <w:t xml:space="preserve">No data leaves your tenant.</w:t>
      </w:r>
      <w:r>
        <w:t xml:space="preserve"> </w:t>
      </w:r>
      <w:r>
        <w:t xml:space="preserve">All Intune and Graph API data is processed in browser session memory only and never stored or transmitted to external systems.</w:t>
      </w:r>
    </w:p>
    <w:bookmarkEnd w:id="69"/>
    <w:bookmarkStart w:id="75" w:name="data-storage--processing-overview"/>
    <w:p>
      <w:pPr>
        <w:pStyle w:val="Heading2"/>
      </w:pPr>
      <w:hyperlink w:anchor="data-storage--processing-overview">
        <w:r>
          <w:rPr>
            <w:rStyle w:val="Hyperlink"/>
          </w:rPr>
          <w:t xml:space="preserve">Data Storage &amp; Processing Overview</w:t>
        </w:r>
      </w:hyperlink>
      <w:r>
        <w:drawing>
          <wp:inline>
            <wp:extent cx="228600" cy="228600"/>
            <wp:effectExtent b="0" l="0" r="0" t="0"/>
            <wp:docPr descr="" title="" id="7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74" w:name="minimal-data-storage-approach"/>
    <w:p>
      <w:pPr>
        <w:pStyle w:val="Heading3"/>
      </w:pPr>
      <w:hyperlink w:anchor="minimal-data-storage-approach">
        <w:r>
          <w:rPr>
            <w:rStyle w:val="Hyperlink"/>
          </w:rPr>
          <w:t xml:space="preserve">Minimal Data Storage Approach</w:t>
        </w:r>
      </w:hyperlink>
      <w:r>
        <w:drawing>
          <wp:inline>
            <wp:extent cx="228600" cy="228600"/>
            <wp:effectExtent b="0" l="0" r="0" t="0"/>
            <wp:docPr descr="" title="" id="7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FirstParagraph"/>
      </w:pPr>
      <w:r>
        <w:t xml:space="preserve">There is a very strict minimal data storage policy with complete transparency about what is stored and why: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Data Type</w:t>
            </w:r>
          </w:p>
        </w:tc>
        <w:tc>
          <w:tcPr/>
          <w:p>
            <w:pPr>
              <w:pStyle w:val="Compact"/>
            </w:pPr>
            <w:r>
              <w:t xml:space="preserve">Stored</w:t>
            </w:r>
          </w:p>
        </w:tc>
        <w:tc>
          <w:tcPr/>
          <w:p>
            <w:pPr>
              <w:pStyle w:val="Compact"/>
            </w:pPr>
            <w:r>
              <w:t xml:space="preserve">Purpose</w:t>
            </w:r>
          </w:p>
        </w:tc>
        <w:tc>
          <w:tcPr/>
          <w:p>
            <w:pPr>
              <w:pStyle w:val="Compact"/>
            </w:pPr>
            <w:r>
              <w:t xml:space="preserve">Retention</w:t>
            </w:r>
          </w:p>
        </w:tc>
      </w:tr>
      <w:tr>
        <w:tc>
          <w:tcPr/>
          <w:p>
            <w:pPr>
              <w:pStyle w:val="Compact"/>
            </w:pPr>
            <w:r>
              <w:rPr>
                <w:b/>
                <w:bCs/>
              </w:rPr>
              <w:t xml:space="preserve">Tenant ID</w:t>
            </w:r>
          </w:p>
        </w:tc>
        <w:tc>
          <w:tcPr/>
          <w:p>
            <w:pPr>
              <w:pStyle w:val="Compact"/>
            </w:pPr>
            <w:r>
              <w:t xml:space="preserve">✅ Yes</w:t>
            </w:r>
          </w:p>
        </w:tc>
        <w:tc>
          <w:tcPr/>
          <w:p>
            <w:pPr>
              <w:pStyle w:val="Compact"/>
            </w:pPr>
            <w:r>
              <w:t xml:space="preserve">Identify tenant and enforce fair-usage licensing. (Access can be denied by Tenant ID)</w:t>
            </w:r>
          </w:p>
        </w:tc>
        <w:tc>
          <w:tcPr/>
          <w:p>
            <w:pPr>
              <w:pStyle w:val="Compact"/>
            </w:pPr>
            <w:r>
              <w:t xml:space="preserve">Persistent</w:t>
            </w:r>
          </w:p>
        </w:tc>
      </w:tr>
      <w:tr>
        <w:tc>
          <w:tcPr/>
          <w:p>
            <w:pPr>
              <w:pStyle w:val="Compact"/>
            </w:pPr>
            <w:r>
              <w:rPr>
                <w:b/>
                <w:bCs/>
              </w:rPr>
              <w:t xml:space="preserve">Tenant Domain</w:t>
            </w:r>
          </w:p>
        </w:tc>
        <w:tc>
          <w:tcPr/>
          <w:p>
            <w:pPr>
              <w:pStyle w:val="Compact"/>
            </w:pPr>
            <w:r>
              <w:t xml:space="preserve">✅ Yes</w:t>
            </w:r>
          </w:p>
        </w:tc>
        <w:tc>
          <w:tcPr/>
          <w:p>
            <w:pPr>
              <w:pStyle w:val="Compact"/>
            </w:pPr>
            <w:r>
              <w:t xml:space="preserve">Display and licensing identification</w:t>
            </w:r>
          </w:p>
        </w:tc>
        <w:tc>
          <w:tcPr/>
          <w:p>
            <w:pPr>
              <w:pStyle w:val="Compact"/>
            </w:pPr>
            <w:r>
              <w:t xml:space="preserve">Persistent</w:t>
            </w:r>
          </w:p>
        </w:tc>
      </w:tr>
      <w:tr>
        <w:tc>
          <w:tcPr/>
          <w:p>
            <w:pPr>
              <w:pStyle w:val="Compact"/>
            </w:pPr>
            <w:r>
              <w:rPr>
                <w:b/>
                <w:bCs/>
              </w:rPr>
              <w:t xml:space="preserve">Session Data</w:t>
            </w:r>
            <w:r>
              <w:t xml:space="preserve"> </w:t>
            </w:r>
            <w:r>
              <w:t xml:space="preserve">(tokens, settings)</w:t>
            </w:r>
          </w:p>
        </w:tc>
        <w:tc>
          <w:tcPr/>
          <w:p>
            <w:pPr>
              <w:pStyle w:val="Compact"/>
            </w:pPr>
            <w:r>
              <w:t xml:space="preserve">❌ No</w:t>
            </w:r>
          </w:p>
        </w:tc>
        <w:tc>
          <w:tcPr/>
          <w:p>
            <w:pPr>
              <w:pStyle w:val="Compact"/>
            </w:pPr>
            <w:r>
              <w:t xml:space="preserve">Stored only in browser session storage</w:t>
            </w:r>
          </w:p>
        </w:tc>
        <w:tc>
          <w:tcPr/>
          <w:p>
            <w:pPr>
              <w:pStyle w:val="Compact"/>
            </w:pPr>
            <w:r>
              <w:t xml:space="preserve">Temporary</w:t>
            </w:r>
          </w:p>
        </w:tc>
      </w:tr>
      <w:tr>
        <w:tc>
          <w:tcPr/>
          <w:p>
            <w:pPr>
              <w:pStyle w:val="Compact"/>
            </w:pPr>
            <w:r>
              <w:rPr>
                <w:b/>
                <w:bCs/>
              </w:rPr>
              <w:t xml:space="preserve">Intune Data</w:t>
            </w:r>
          </w:p>
        </w:tc>
        <w:tc>
          <w:tcPr/>
          <w:p>
            <w:pPr>
              <w:pStyle w:val="Compact"/>
            </w:pPr>
            <w:r>
              <w:t xml:space="preserve">❌ No</w:t>
            </w:r>
          </w:p>
        </w:tc>
        <w:tc>
          <w:tcPr/>
          <w:p>
            <w:pPr>
              <w:pStyle w:val="Compact"/>
            </w:pPr>
            <w:r>
              <w:t xml:space="preserve">Processed in session memory only, never persisted</w:t>
            </w:r>
          </w:p>
        </w:tc>
        <w:tc>
          <w:tcPr/>
          <w:p>
            <w:pPr>
              <w:pStyle w:val="Compact"/>
            </w:pPr>
            <w:r>
              <w:t xml:space="preserve">N/A</w:t>
            </w:r>
          </w:p>
        </w:tc>
      </w:tr>
      <w:tr>
        <w:tc>
          <w:tcPr/>
          <w:p>
            <w:pPr>
              <w:pStyle w:val="Compact"/>
            </w:pPr>
            <w:r>
              <w:rPr>
                <w:b/>
                <w:bCs/>
              </w:rPr>
              <w:t xml:space="preserve">Graph API Data</w:t>
            </w:r>
          </w:p>
        </w:tc>
        <w:tc>
          <w:tcPr/>
          <w:p>
            <w:pPr>
              <w:pStyle w:val="Compact"/>
            </w:pPr>
            <w:r>
              <w:t xml:space="preserve">❌ No</w:t>
            </w:r>
          </w:p>
        </w:tc>
        <w:tc>
          <w:tcPr/>
          <w:p>
            <w:pPr>
              <w:pStyle w:val="Compact"/>
            </w:pPr>
            <w:r>
              <w:t xml:space="preserve">Processed in session memory only, never persisted</w:t>
            </w:r>
          </w:p>
        </w:tc>
        <w:tc>
          <w:tcPr/>
          <w:p>
            <w:pPr>
              <w:pStyle w:val="Compact"/>
            </w:pPr>
            <w:r>
              <w:t xml:space="preserve">N/A</w:t>
            </w:r>
          </w:p>
        </w:tc>
      </w:tr>
      <w:tr>
        <w:tc>
          <w:tcPr/>
          <w:p>
            <w:pPr>
              <w:pStyle w:val="Compact"/>
            </w:pPr>
            <w:r>
              <w:rPr>
                <w:b/>
                <w:bCs/>
              </w:rPr>
              <w:t xml:space="preserve">User's Device Information</w:t>
            </w:r>
          </w:p>
        </w:tc>
        <w:tc>
          <w:tcPr/>
          <w:p>
            <w:pPr>
              <w:pStyle w:val="Compact"/>
            </w:pPr>
            <w:r>
              <w:t xml:space="preserve">❌ No</w:t>
            </w:r>
          </w:p>
        </w:tc>
        <w:tc>
          <w:tcPr/>
          <w:p>
            <w:pPr>
              <w:pStyle w:val="Compact"/>
            </w:pPr>
            <w:r>
              <w:t xml:space="preserve">Never accessed or stored</w:t>
            </w:r>
          </w:p>
        </w:tc>
        <w:tc>
          <w:tcPr/>
          <w:p>
            <w:pPr>
              <w:pStyle w:val="Compact"/>
            </w:pPr>
            <w:r>
              <w:t xml:space="preserve">N/A</w:t>
            </w:r>
          </w:p>
        </w:tc>
      </w:tr>
      <w:tr>
        <w:tc>
          <w:tcPr/>
          <w:p>
            <w:pPr>
              <w:pStyle w:val="Compact"/>
            </w:pPr>
            <w:r>
              <w:rPr>
                <w:b/>
                <w:bCs/>
              </w:rPr>
              <w:t xml:space="preserve">User Personal Data</w:t>
            </w:r>
          </w:p>
        </w:tc>
        <w:tc>
          <w:tcPr/>
          <w:p>
            <w:pPr>
              <w:pStyle w:val="Compact"/>
            </w:pPr>
            <w:r>
              <w:t xml:space="preserve">❌ No</w:t>
            </w:r>
          </w:p>
        </w:tc>
        <w:tc>
          <w:tcPr/>
          <w:p>
            <w:pPr>
              <w:pStyle w:val="Compact"/>
            </w:pPr>
            <w:r>
              <w:t xml:space="preserve">Never accessed or stored</w:t>
            </w:r>
          </w:p>
        </w:tc>
        <w:tc>
          <w:tcPr/>
          <w:p>
            <w:pPr>
              <w:pStyle w:val="Compact"/>
            </w:pPr>
            <w:r>
              <w:t xml:space="preserve">N/A</w:t>
            </w:r>
          </w:p>
        </w:tc>
      </w:tr>
    </w:tbl>
    <w:bookmarkEnd w:id="74"/>
    <w:bookmarkEnd w:id="75"/>
    <w:bookmarkStart w:id="87" w:name="how-we-process-your-data"/>
    <w:p>
      <w:pPr>
        <w:pStyle w:val="Heading2"/>
      </w:pPr>
      <w:hyperlink w:anchor="how-we-process-your-data">
        <w:r>
          <w:rPr>
            <w:rStyle w:val="Hyperlink"/>
          </w:rPr>
          <w:t xml:space="preserve">How We Process Your Data</w:t>
        </w:r>
      </w:hyperlink>
      <w:r>
        <w:drawing>
          <wp:inline>
            <wp:extent cx="228600" cy="228600"/>
            <wp:effectExtent b="0" l="0" r="0" t="0"/>
            <wp:docPr descr="" title="" id="7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80" w:name="in-memory-processing-only"/>
    <w:p>
      <w:pPr>
        <w:pStyle w:val="Heading3"/>
      </w:pPr>
      <w:hyperlink w:anchor="in-memory-processing-only">
        <w:r>
          <w:rPr>
            <w:rStyle w:val="Hyperlink"/>
          </w:rPr>
          <w:t xml:space="preserve">In-Memory Processing Only</w:t>
        </w:r>
      </w:hyperlink>
      <w:r>
        <w:drawing>
          <wp:inline>
            <wp:extent cx="228600" cy="228600"/>
            <wp:effectExtent b="0" l="0" r="0" t="0"/>
            <wp:docPr descr="" title="" id="7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80"/>
    <w:bookmarkStart w:id="86" w:name="data-flow-principles"/>
    <w:p>
      <w:pPr>
        <w:pStyle w:val="Heading3"/>
      </w:pPr>
      <w:hyperlink w:anchor="data-flow-principles">
        <w:r>
          <w:rPr>
            <w:rStyle w:val="Hyperlink"/>
          </w:rPr>
          <w:t xml:space="preserve">Data Flow Principles</w:t>
        </w:r>
      </w:hyperlink>
      <w:r>
        <w:drawing>
          <wp:inline>
            <wp:extent cx="228600" cy="228600"/>
            <wp:effectExtent b="0" l="0" r="0" t="0"/>
            <wp:docPr descr="" title="" id="8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228600" cy="228600"/>
                    </a:xfrm>
                    <a:prstGeom prst="rect">
                      <a:avLst/>
                    </a:prstGeom>
                    <a:noFill/>
                    <a:ln w="9525">
                      <a:noFill/>
                      <a:headEnd/>
                      <a:tailEnd/>
                    </a:ln>
                  </pic:spPr>
                </pic:pic>
              </a:graphicData>
            </a:graphic>
          </wp:inline>
        </w:drawing>
      </w:r>
    </w:p>
    <w:p>
      <w:pPr>
        <w:numPr>
          <w:ilvl w:val="0"/>
          <w:numId w:val="1001"/>
        </w:numPr>
      </w:pPr>
      <w:r>
        <w:rPr>
          <w:b/>
          <w:bCs/>
        </w:rPr>
        <w:t xml:space="preserve">Request Processing</w:t>
      </w:r>
    </w:p>
    <w:p>
      <w:pPr>
        <w:pStyle w:val="Compact"/>
        <w:numPr>
          <w:ilvl w:val="1"/>
          <w:numId w:val="1002"/>
        </w:numPr>
      </w:pPr>
      <w:r>
        <w:t xml:space="preserve">API calls made directly to your tenant's Graph API</w:t>
      </w:r>
    </w:p>
    <w:p>
      <w:pPr>
        <w:pStyle w:val="Compact"/>
        <w:numPr>
          <w:ilvl w:val="1"/>
          <w:numId w:val="1002"/>
        </w:numPr>
      </w:pPr>
      <w:r>
        <w:t xml:space="preserve">Data retrieved and processed in memory only</w:t>
      </w:r>
    </w:p>
    <w:p>
      <w:pPr>
        <w:pStyle w:val="Compact"/>
        <w:numPr>
          <w:ilvl w:val="1"/>
          <w:numId w:val="1002"/>
        </w:numPr>
      </w:pPr>
      <w:r>
        <w:t xml:space="preserve">Results displayed immediately to your browser</w:t>
      </w:r>
    </w:p>
    <w:p>
      <w:pPr>
        <w:numPr>
          <w:ilvl w:val="0"/>
          <w:numId w:val="1001"/>
        </w:numPr>
      </w:pPr>
      <w:r>
        <w:rPr>
          <w:b/>
          <w:bCs/>
        </w:rPr>
        <w:t xml:space="preserve">No Persistence</w:t>
      </w:r>
    </w:p>
    <w:p>
      <w:pPr>
        <w:pStyle w:val="Compact"/>
        <w:numPr>
          <w:ilvl w:val="1"/>
          <w:numId w:val="1003"/>
        </w:numPr>
      </w:pPr>
      <w:r>
        <w:t xml:space="preserve">API responses processed and immediately discarded</w:t>
      </w:r>
    </w:p>
    <w:p>
      <w:pPr>
        <w:pStyle w:val="Compact"/>
        <w:numPr>
          <w:ilvl w:val="1"/>
          <w:numId w:val="1003"/>
        </w:numPr>
      </w:pPr>
      <w:r>
        <w:t xml:space="preserve">No database storage of any tenant-specific data</w:t>
      </w:r>
    </w:p>
    <w:p>
      <w:pPr>
        <w:pStyle w:val="Compact"/>
        <w:numPr>
          <w:ilvl w:val="1"/>
          <w:numId w:val="1003"/>
        </w:numPr>
      </w:pPr>
      <w:r>
        <w:t xml:space="preserve">No caching beyond browser session storage</w:t>
      </w:r>
    </w:p>
    <w:p>
      <w:pPr>
        <w:numPr>
          <w:ilvl w:val="0"/>
          <w:numId w:val="1001"/>
        </w:numPr>
      </w:pPr>
      <w:r>
        <w:rPr>
          <w:b/>
          <w:bCs/>
        </w:rPr>
        <w:t xml:space="preserve">Session Management</w:t>
      </w:r>
    </w:p>
    <w:p>
      <w:pPr>
        <w:pStyle w:val="Compact"/>
        <w:numPr>
          <w:ilvl w:val="1"/>
          <w:numId w:val="1004"/>
        </w:numPr>
      </w:pPr>
      <w:r>
        <w:t xml:space="preserve">Authentication tokens stored only in browser session</w:t>
      </w:r>
    </w:p>
    <w:p>
      <w:pPr>
        <w:pStyle w:val="Compact"/>
        <w:numPr>
          <w:ilvl w:val="1"/>
          <w:numId w:val="1004"/>
        </w:numPr>
      </w:pPr>
      <w:r>
        <w:t xml:space="preserve">Session data cleared automatically on logout</w:t>
      </w:r>
    </w:p>
    <w:p>
      <w:pPr>
        <w:pStyle w:val="Compact"/>
        <w:numPr>
          <w:ilvl w:val="1"/>
          <w:numId w:val="1004"/>
        </w:numPr>
      </w:pPr>
      <w:r>
        <w:t xml:space="preserve">No server-side session persistence</w:t>
      </w:r>
    </w:p>
    <w:p>
      <w:pPr>
        <w:pStyle w:val="FirstParagraph"/>
      </w:pPr>
      <w:r>
        <w:drawing>
          <wp:inline>
            <wp:extent cx="228600" cy="228600"/>
            <wp:effectExtent b="0" l="0" r="0" t="0"/>
            <wp:docPr descr="" title="" id="8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PGNpcmNsZSBjeD0iMTIiIGN5PSIxMiIgcj0iMTAiPjwvY2lyY2xlPjxwYXRoIGQ9Ik0xMiAxNnYtNCIgLz48cGF0aCBkPSJNMTIgOGguMDEiIC8+PC9zdmc+" id="8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3"/>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Browser Session Storage</w:t>
      </w:r>
    </w:p>
    <w:p>
      <w:pPr>
        <w:pStyle w:val="BodyText"/>
      </w:pPr>
      <w:r>
        <w:t xml:space="preserve">Browser session storage is used for temporary data like UI preferences and navigation state. This data is automatically cleared when you go to an other page, close your browser or log out.</w:t>
      </w:r>
    </w:p>
    <w:bookmarkEnd w:id="86"/>
    <w:bookmarkEnd w:id="87"/>
    <w:bookmarkStart w:id="99" w:name="data-security-measures"/>
    <w:p>
      <w:pPr>
        <w:pStyle w:val="Heading2"/>
      </w:pPr>
      <w:hyperlink w:anchor="data-security-measures">
        <w:r>
          <w:rPr>
            <w:rStyle w:val="Hyperlink"/>
          </w:rPr>
          <w:t xml:space="preserve">Data Security Measures</w:t>
        </w:r>
      </w:hyperlink>
      <w:r>
        <w:drawing>
          <wp:inline>
            <wp:extent cx="228600" cy="228600"/>
            <wp:effectExtent b="0" l="0" r="0" t="0"/>
            <wp:docPr descr="" title="" id="8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92" w:name="technical-safeguards"/>
    <w:p>
      <w:pPr>
        <w:pStyle w:val="Heading3"/>
      </w:pPr>
      <w:hyperlink w:anchor="technical-safeguards">
        <w:r>
          <w:rPr>
            <w:rStyle w:val="Hyperlink"/>
          </w:rPr>
          <w:t xml:space="preserve">Technical Safeguards</w:t>
        </w:r>
      </w:hyperlink>
      <w:r>
        <w:drawing>
          <wp:inline>
            <wp:extent cx="228600" cy="228600"/>
            <wp:effectExtent b="0" l="0" r="0" t="0"/>
            <wp:docPr descr="" title="" id="9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9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Compact"/>
        <w:numPr>
          <w:ilvl w:val="0"/>
          <w:numId w:val="1005"/>
        </w:numPr>
      </w:pPr>
      <w:r>
        <w:rPr>
          <w:b/>
          <w:bCs/>
        </w:rPr>
        <w:t xml:space="preserve">HTTPS Encryption</w:t>
      </w:r>
      <w:r>
        <w:t xml:space="preserve"> </w:t>
      </w:r>
      <w:r>
        <w:t xml:space="preserve">- All communications encrypted in transit</w:t>
      </w:r>
    </w:p>
    <w:p>
      <w:pPr>
        <w:pStyle w:val="Compact"/>
        <w:numPr>
          <w:ilvl w:val="0"/>
          <w:numId w:val="1005"/>
        </w:numPr>
      </w:pPr>
      <w:r>
        <w:rPr>
          <w:b/>
          <w:bCs/>
        </w:rPr>
        <w:t xml:space="preserve">No Database Storage</w:t>
      </w:r>
      <w:r>
        <w:t xml:space="preserve"> </w:t>
      </w:r>
      <w:r>
        <w:t xml:space="preserve">- No persistent storage of tenant data</w:t>
      </w:r>
    </w:p>
    <w:p>
      <w:pPr>
        <w:pStyle w:val="Compact"/>
        <w:numPr>
          <w:ilvl w:val="0"/>
          <w:numId w:val="1005"/>
        </w:numPr>
      </w:pPr>
      <w:r>
        <w:rPr>
          <w:b/>
          <w:bCs/>
        </w:rPr>
        <w:t xml:space="preserve">Memory-Only Processing</w:t>
      </w:r>
      <w:r>
        <w:t xml:space="preserve"> </w:t>
      </w:r>
      <w:r>
        <w:t xml:space="preserve">- All operations performed in volatile memory</w:t>
      </w:r>
    </w:p>
    <w:p>
      <w:pPr>
        <w:pStyle w:val="Compact"/>
        <w:numPr>
          <w:ilvl w:val="0"/>
          <w:numId w:val="1005"/>
        </w:numPr>
      </w:pPr>
      <w:r>
        <w:rPr>
          <w:b/>
          <w:bCs/>
        </w:rPr>
        <w:t xml:space="preserve">Automatic Cleanup</w:t>
      </w:r>
      <w:r>
        <w:t xml:space="preserve"> </w:t>
      </w:r>
      <w:r>
        <w:t xml:space="preserve">- Memory cleared after each operation</w:t>
      </w:r>
    </w:p>
    <w:p>
      <w:pPr>
        <w:pStyle w:val="Compact"/>
        <w:numPr>
          <w:ilvl w:val="0"/>
          <w:numId w:val="1005"/>
        </w:numPr>
      </w:pPr>
      <w:r>
        <w:rPr>
          <w:b/>
          <w:bCs/>
        </w:rPr>
        <w:t xml:space="preserve">Session Isolation</w:t>
      </w:r>
      <w:r>
        <w:t xml:space="preserve"> </w:t>
      </w:r>
      <w:r>
        <w:t xml:space="preserve">- Each session completely isolated from others</w:t>
      </w:r>
    </w:p>
    <w:bookmarkEnd w:id="92"/>
    <w:bookmarkStart w:id="95" w:name="access-controls"/>
    <w:p>
      <w:pPr>
        <w:pStyle w:val="Heading3"/>
      </w:pPr>
      <w:hyperlink w:anchor="access-controls">
        <w:r>
          <w:rPr>
            <w:rStyle w:val="Hyperlink"/>
          </w:rPr>
          <w:t xml:space="preserve">Access Controls</w:t>
        </w:r>
      </w:hyperlink>
      <w:r>
        <w:drawing>
          <wp:inline>
            <wp:extent cx="228600" cy="228600"/>
            <wp:effectExtent b="0" l="0" r="0" t="0"/>
            <wp:docPr descr="" title="" id="9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9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Compact"/>
        <w:numPr>
          <w:ilvl w:val="0"/>
          <w:numId w:val="1006"/>
        </w:numPr>
      </w:pPr>
      <w:r>
        <w:rPr>
          <w:b/>
          <w:bCs/>
        </w:rPr>
        <w:t xml:space="preserve">Microsoft Identity</w:t>
      </w:r>
      <w:r>
        <w:t xml:space="preserve"> </w:t>
      </w:r>
      <w:r>
        <w:t xml:space="preserve">- Authentication through your tenant's identity provider</w:t>
      </w:r>
    </w:p>
    <w:p>
      <w:pPr>
        <w:pStyle w:val="Compact"/>
        <w:numPr>
          <w:ilvl w:val="0"/>
          <w:numId w:val="1006"/>
        </w:numPr>
      </w:pPr>
      <w:r>
        <w:rPr>
          <w:b/>
          <w:bCs/>
        </w:rPr>
        <w:t xml:space="preserve">GDAP Compliance</w:t>
      </w:r>
      <w:r>
        <w:t xml:space="preserve"> </w:t>
      </w:r>
      <w:r>
        <w:t xml:space="preserve">- Granular delegated admin privileges for MSPs</w:t>
      </w:r>
    </w:p>
    <w:p>
      <w:pPr>
        <w:pStyle w:val="Compact"/>
        <w:numPr>
          <w:ilvl w:val="0"/>
          <w:numId w:val="1006"/>
        </w:numPr>
      </w:pPr>
      <w:r>
        <w:rPr>
          <w:b/>
          <w:bCs/>
        </w:rPr>
        <w:t xml:space="preserve">Role-Based Access</w:t>
      </w:r>
      <w:r>
        <w:t xml:space="preserve"> </w:t>
      </w:r>
      <w:r>
        <w:t xml:space="preserve">- Permissions enforced through your tenant's RBAC</w:t>
      </w:r>
    </w:p>
    <w:p>
      <w:pPr>
        <w:pStyle w:val="Compact"/>
        <w:numPr>
          <w:ilvl w:val="0"/>
          <w:numId w:val="1006"/>
        </w:numPr>
      </w:pPr>
      <w:r>
        <w:rPr>
          <w:b/>
          <w:bCs/>
        </w:rPr>
        <w:t xml:space="preserve">No Backdoors</w:t>
      </w:r>
      <w:r>
        <w:t xml:space="preserve"> </w:t>
      </w:r>
      <w:r>
        <w:t xml:space="preserve">- No administrative access to your tenant data</w:t>
      </w:r>
    </w:p>
    <w:bookmarkEnd w:id="95"/>
    <w:bookmarkStart w:id="98" w:name="compliance-standards"/>
    <w:p>
      <w:pPr>
        <w:pStyle w:val="Heading3"/>
      </w:pPr>
      <w:hyperlink w:anchor="compliance-standards">
        <w:r>
          <w:rPr>
            <w:rStyle w:val="Hyperlink"/>
          </w:rPr>
          <w:t xml:space="preserve">Compliance Standards</w:t>
        </w:r>
      </w:hyperlink>
      <w:r>
        <w:drawing>
          <wp:inline>
            <wp:extent cx="228600" cy="228600"/>
            <wp:effectExtent b="0" l="0" r="0" t="0"/>
            <wp:docPr descr="" title="" id="9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9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Compact"/>
        <w:numPr>
          <w:ilvl w:val="0"/>
          <w:numId w:val="1007"/>
        </w:numPr>
      </w:pPr>
      <w:r>
        <w:rPr>
          <w:b/>
          <w:bCs/>
        </w:rPr>
        <w:t xml:space="preserve">GDPR Compliant</w:t>
      </w:r>
      <w:r>
        <w:t xml:space="preserve"> </w:t>
      </w:r>
      <w:r>
        <w:t xml:space="preserve">- Privacy by design approach</w:t>
      </w:r>
    </w:p>
    <w:p>
      <w:pPr>
        <w:pStyle w:val="Compact"/>
        <w:numPr>
          <w:ilvl w:val="0"/>
          <w:numId w:val="1007"/>
        </w:numPr>
      </w:pPr>
      <w:r>
        <w:rPr>
          <w:b/>
          <w:bCs/>
        </w:rPr>
        <w:t xml:space="preserve">Microsoft Security Standards</w:t>
      </w:r>
      <w:r>
        <w:t xml:space="preserve"> </w:t>
      </w:r>
      <w:r>
        <w:t xml:space="preserve">- Built on Microsoft's security framework</w:t>
      </w:r>
    </w:p>
    <w:p>
      <w:pPr>
        <w:pStyle w:val="Compact"/>
        <w:numPr>
          <w:ilvl w:val="0"/>
          <w:numId w:val="1007"/>
        </w:numPr>
      </w:pPr>
      <w:r>
        <w:rPr>
          <w:b/>
          <w:bCs/>
        </w:rPr>
        <w:t xml:space="preserve">Industry Best Practices</w:t>
      </w:r>
      <w:r>
        <w:t xml:space="preserve"> </w:t>
      </w:r>
      <w:r>
        <w:t xml:space="preserve">- Following established security guidelines</w:t>
      </w:r>
    </w:p>
    <w:p>
      <w:pPr>
        <w:pStyle w:val="Compact"/>
        <w:numPr>
          <w:ilvl w:val="0"/>
          <w:numId w:val="1007"/>
        </w:numPr>
      </w:pPr>
      <w:r>
        <w:rPr>
          <w:b/>
          <w:bCs/>
        </w:rPr>
        <w:t xml:space="preserve">Regular Security Reviews</w:t>
      </w:r>
      <w:r>
        <w:t xml:space="preserve"> </w:t>
      </w:r>
      <w:r>
        <w:t xml:space="preserve">- Continuous security assessment and improvement</w:t>
      </w:r>
    </w:p>
    <w:bookmarkEnd w:id="98"/>
    <w:bookmarkEnd w:id="99"/>
    <w:bookmarkStart w:id="108" w:name="msp-privacy-considerations"/>
    <w:p>
      <w:pPr>
        <w:pStyle w:val="Heading2"/>
      </w:pPr>
      <w:hyperlink w:anchor="msp-privacy-considerations">
        <w:r>
          <w:rPr>
            <w:rStyle w:val="Hyperlink"/>
          </w:rPr>
          <w:t xml:space="preserve">MSP Privacy Considerations</w:t>
        </w:r>
      </w:hyperlink>
      <w:r>
        <w:drawing>
          <wp:inline>
            <wp:extent cx="228600" cy="228600"/>
            <wp:effectExtent b="0" l="0" r="0" t="0"/>
            <wp:docPr descr="" title="" id="10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10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104" w:name="multi-tenant-data-isolation"/>
    <w:p>
      <w:pPr>
        <w:pStyle w:val="Heading3"/>
      </w:pPr>
      <w:hyperlink w:anchor="multi-tenant-data-isolation">
        <w:r>
          <w:rPr>
            <w:rStyle w:val="Hyperlink"/>
          </w:rPr>
          <w:t xml:space="preserve">Multi-Tenant Data Isolation</w:t>
        </w:r>
      </w:hyperlink>
      <w:r>
        <w:drawing>
          <wp:inline>
            <wp:extent cx="228600" cy="228600"/>
            <wp:effectExtent b="0" l="0" r="0" t="0"/>
            <wp:docPr descr="" title="" id="10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10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FirstParagraph"/>
      </w:pPr>
      <w:r>
        <w:t xml:space="preserve">For MSP environments, we ensure complete data isolation:</w:t>
      </w:r>
    </w:p>
    <w:p>
      <w:pPr>
        <w:pStyle w:val="Compact"/>
        <w:numPr>
          <w:ilvl w:val="0"/>
          <w:numId w:val="1008"/>
        </w:numPr>
      </w:pPr>
      <w:r>
        <w:rPr>
          <w:b/>
          <w:bCs/>
        </w:rPr>
        <w:t xml:space="preserve">Tenant-Specific Processing</w:t>
      </w:r>
      <w:r>
        <w:t xml:space="preserve"> </w:t>
      </w:r>
      <w:r>
        <w:t xml:space="preserve">- Each customer tenant processed independently</w:t>
      </w:r>
    </w:p>
    <w:p>
      <w:pPr>
        <w:pStyle w:val="Compact"/>
        <w:numPr>
          <w:ilvl w:val="0"/>
          <w:numId w:val="1008"/>
        </w:numPr>
      </w:pPr>
      <w:r>
        <w:rPr>
          <w:b/>
          <w:bCs/>
        </w:rPr>
        <w:t xml:space="preserve">No Cross-Tenant Data</w:t>
      </w:r>
      <w:r>
        <w:t xml:space="preserve"> </w:t>
      </w:r>
      <w:r>
        <w:t xml:space="preserve">- No mixing of data between customer tenants</w:t>
      </w:r>
    </w:p>
    <w:p>
      <w:pPr>
        <w:pStyle w:val="Compact"/>
        <w:numPr>
          <w:ilvl w:val="0"/>
          <w:numId w:val="1008"/>
        </w:numPr>
      </w:pPr>
      <w:r>
        <w:rPr>
          <w:b/>
          <w:bCs/>
        </w:rPr>
        <w:t xml:space="preserve">GDAP Respect</w:t>
      </w:r>
      <w:r>
        <w:t xml:space="preserve"> </w:t>
      </w:r>
      <w:r>
        <w:t xml:space="preserve">- Only access data according to granted permissions</w:t>
      </w:r>
    </w:p>
    <w:bookmarkEnd w:id="104"/>
    <w:bookmarkStart w:id="107" w:name="customer-data-protection"/>
    <w:p>
      <w:pPr>
        <w:pStyle w:val="Heading3"/>
      </w:pPr>
      <w:hyperlink w:anchor="customer-data-protection">
        <w:r>
          <w:rPr>
            <w:rStyle w:val="Hyperlink"/>
          </w:rPr>
          <w:t xml:space="preserve">Customer Data Protection</w:t>
        </w:r>
      </w:hyperlink>
      <w:r>
        <w:drawing>
          <wp:inline>
            <wp:extent cx="228600" cy="228600"/>
            <wp:effectExtent b="0" l="0" r="0" t="0"/>
            <wp:docPr descr="" title="" id="10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10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Compact"/>
        <w:numPr>
          <w:ilvl w:val="0"/>
          <w:numId w:val="1009"/>
        </w:numPr>
      </w:pPr>
      <w:r>
        <w:rPr>
          <w:b/>
          <w:bCs/>
        </w:rPr>
        <w:t xml:space="preserve">Customer Consent</w:t>
      </w:r>
      <w:r>
        <w:t xml:space="preserve"> </w:t>
      </w:r>
      <w:r>
        <w:t xml:space="preserve">- All access based on explicit GDAP permissions</w:t>
      </w:r>
    </w:p>
    <w:p>
      <w:pPr>
        <w:pStyle w:val="Compact"/>
        <w:numPr>
          <w:ilvl w:val="0"/>
          <w:numId w:val="1009"/>
        </w:numPr>
      </w:pPr>
      <w:r>
        <w:rPr>
          <w:b/>
          <w:bCs/>
        </w:rPr>
        <w:t xml:space="preserve">Limited Scope</w:t>
      </w:r>
      <w:r>
        <w:t xml:space="preserve"> </w:t>
      </w:r>
      <w:r>
        <w:t xml:space="preserve">- Only access data necessary for granted roles</w:t>
      </w:r>
    </w:p>
    <w:p>
      <w:pPr>
        <w:pStyle w:val="Compact"/>
        <w:numPr>
          <w:ilvl w:val="0"/>
          <w:numId w:val="1009"/>
        </w:numPr>
      </w:pPr>
      <w:r>
        <w:rPr>
          <w:b/>
          <w:bCs/>
        </w:rPr>
        <w:t xml:space="preserve">No Data Sharing</w:t>
      </w:r>
      <w:r>
        <w:t xml:space="preserve"> </w:t>
      </w:r>
      <w:r>
        <w:t xml:space="preserve">- No sharing of customer data between tenants or MSPs</w:t>
      </w:r>
    </w:p>
    <w:bookmarkEnd w:id="107"/>
    <w:bookmarkEnd w:id="108"/>
    <w:bookmarkStart w:id="122" w:name="your-rights-and-controls"/>
    <w:p>
      <w:pPr>
        <w:pStyle w:val="Heading2"/>
      </w:pPr>
      <w:hyperlink w:anchor="your-rights-and-controls">
        <w:r>
          <w:rPr>
            <w:rStyle w:val="Hyperlink"/>
          </w:rPr>
          <w:t xml:space="preserve">Your Rights and Controls</w:t>
        </w:r>
      </w:hyperlink>
      <w:r>
        <w:drawing>
          <wp:inline>
            <wp:extent cx="228600" cy="228600"/>
            <wp:effectExtent b="0" l="0" r="0" t="0"/>
            <wp:docPr descr="" title="" id="10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1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113" w:name="data-control"/>
    <w:p>
      <w:pPr>
        <w:pStyle w:val="Heading3"/>
      </w:pPr>
      <w:hyperlink w:anchor="data-control">
        <w:r>
          <w:rPr>
            <w:rStyle w:val="Hyperlink"/>
          </w:rPr>
          <w:t xml:space="preserve">Data Control</w:t>
        </w:r>
      </w:hyperlink>
      <w:r>
        <w:drawing>
          <wp:inline>
            <wp:extent cx="228600" cy="228600"/>
            <wp:effectExtent b="0" l="0" r="0" t="0"/>
            <wp:docPr descr="" title="" id="11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1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Compact"/>
        <w:numPr>
          <w:ilvl w:val="0"/>
          <w:numId w:val="1010"/>
        </w:numPr>
      </w:pPr>
      <w:r>
        <w:rPr>
          <w:b/>
          <w:bCs/>
        </w:rPr>
        <w:t xml:space="preserve">Full Control</w:t>
      </w:r>
      <w:r>
        <w:t xml:space="preserve"> </w:t>
      </w:r>
      <w:r>
        <w:t xml:space="preserve">- You maintain complete control over your tenant data</w:t>
      </w:r>
    </w:p>
    <w:p>
      <w:pPr>
        <w:pStyle w:val="Compact"/>
        <w:numPr>
          <w:ilvl w:val="0"/>
          <w:numId w:val="1010"/>
        </w:numPr>
      </w:pPr>
      <w:r>
        <w:rPr>
          <w:b/>
          <w:bCs/>
        </w:rPr>
        <w:t xml:space="preserve">Access Management</w:t>
      </w:r>
      <w:r>
        <w:t xml:space="preserve"> </w:t>
      </w:r>
      <w:r>
        <w:t xml:space="preserve">- Control application access through Azure AD</w:t>
      </w:r>
    </w:p>
    <w:p>
      <w:pPr>
        <w:pStyle w:val="Compact"/>
        <w:numPr>
          <w:ilvl w:val="0"/>
          <w:numId w:val="1010"/>
        </w:numPr>
      </w:pPr>
      <w:r>
        <w:rPr>
          <w:b/>
          <w:bCs/>
        </w:rPr>
        <w:t xml:space="preserve">Permission Granularity</w:t>
      </w:r>
      <w:r>
        <w:t xml:space="preserve"> </w:t>
      </w:r>
      <w:r>
        <w:t xml:space="preserve">- Grant only necessary permissions</w:t>
      </w:r>
    </w:p>
    <w:p>
      <w:pPr>
        <w:pStyle w:val="Compact"/>
        <w:numPr>
          <w:ilvl w:val="0"/>
          <w:numId w:val="1010"/>
        </w:numPr>
      </w:pPr>
      <w:r>
        <w:rPr>
          <w:b/>
          <w:bCs/>
        </w:rPr>
        <w:t xml:space="preserve">Revoke Access</w:t>
      </w:r>
      <w:r>
        <w:t xml:space="preserve"> </w:t>
      </w:r>
      <w:r>
        <w:t xml:space="preserve">- Instantly revoke application access at any time</w:t>
      </w:r>
    </w:p>
    <w:bookmarkEnd w:id="113"/>
    <w:bookmarkStart w:id="116" w:name="transparency"/>
    <w:p>
      <w:pPr>
        <w:pStyle w:val="Heading3"/>
      </w:pPr>
      <w:hyperlink w:anchor="transparency">
        <w:r>
          <w:rPr>
            <w:rStyle w:val="Hyperlink"/>
          </w:rPr>
          <w:t xml:space="preserve">Transparency</w:t>
        </w:r>
      </w:hyperlink>
      <w:r>
        <w:drawing>
          <wp:inline>
            <wp:extent cx="228600" cy="228600"/>
            <wp:effectExtent b="0" l="0" r="0" t="0"/>
            <wp:docPr descr="" title="" id="11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1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Compact"/>
        <w:numPr>
          <w:ilvl w:val="0"/>
          <w:numId w:val="1011"/>
        </w:numPr>
      </w:pPr>
      <w:r>
        <w:rPr>
          <w:b/>
          <w:bCs/>
        </w:rPr>
        <w:t xml:space="preserve">Open Source</w:t>
      </w:r>
      <w:r>
        <w:t xml:space="preserve"> </w:t>
      </w:r>
      <w:r>
        <w:t xml:space="preserve">- Application code (Webinterface) available for review</w:t>
      </w:r>
    </w:p>
    <w:p>
      <w:pPr>
        <w:pStyle w:val="Compact"/>
        <w:numPr>
          <w:ilvl w:val="0"/>
          <w:numId w:val="1011"/>
        </w:numPr>
      </w:pPr>
      <w:r>
        <w:rPr>
          <w:b/>
          <w:bCs/>
        </w:rPr>
        <w:t xml:space="preserve">Clear Documentation</w:t>
      </w:r>
      <w:r>
        <w:t xml:space="preserve"> </w:t>
      </w:r>
      <w:r>
        <w:t xml:space="preserve">- Complete transparency about data handling</w:t>
      </w:r>
    </w:p>
    <w:p>
      <w:pPr>
        <w:pStyle w:val="Compact"/>
        <w:numPr>
          <w:ilvl w:val="0"/>
          <w:numId w:val="1011"/>
        </w:numPr>
      </w:pPr>
      <w:r>
        <w:rPr>
          <w:b/>
          <w:bCs/>
        </w:rPr>
        <w:t xml:space="preserve">No Hidden Processes</w:t>
      </w:r>
      <w:r>
        <w:t xml:space="preserve"> </w:t>
      </w:r>
      <w:r>
        <w:t xml:space="preserve">- All data processing clearly documented</w:t>
      </w:r>
    </w:p>
    <w:p>
      <w:pPr>
        <w:pStyle w:val="Compact"/>
        <w:numPr>
          <w:ilvl w:val="0"/>
          <w:numId w:val="1011"/>
        </w:numPr>
      </w:pPr>
      <w:r>
        <w:rPr>
          <w:b/>
          <w:bCs/>
        </w:rPr>
        <w:t xml:space="preserve">Regular Updates</w:t>
      </w:r>
      <w:r>
        <w:t xml:space="preserve"> </w:t>
      </w:r>
      <w:r>
        <w:t xml:space="preserve">- Privacy policy updates communicated clearly</w:t>
      </w:r>
    </w:p>
    <w:bookmarkEnd w:id="116"/>
    <w:bookmarkStart w:id="121" w:name="technical-questions"/>
    <w:p>
      <w:pPr>
        <w:pStyle w:val="Heading3"/>
      </w:pPr>
      <w:hyperlink w:anchor="technical-questions">
        <w:r>
          <w:rPr>
            <w:rStyle w:val="Hyperlink"/>
          </w:rPr>
          <w:t xml:space="preserve">Technical Questions</w:t>
        </w:r>
      </w:hyperlink>
      <w:r>
        <w:drawing>
          <wp:inline>
            <wp:extent cx="228600" cy="228600"/>
            <wp:effectExtent b="0" l="0" r="0" t="0"/>
            <wp:docPr descr="" title="" id="11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1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FirstParagraph"/>
      </w:pPr>
      <w:r>
        <w:rPr>
          <w:b/>
          <w:bCs/>
        </w:rPr>
        <w:t xml:space="preserve">Q: How do you handle authentication tokens?</w:t>
      </w:r>
      <w:r>
        <w:t xml:space="preserve"> </w:t>
      </w:r>
      <w:r>
        <w:t xml:space="preserve">A: Authentication tokens are stored only in your browser's session storage and are never transmitted to our servers or stored persistently.</w:t>
      </w:r>
    </w:p>
    <w:p>
      <w:pPr>
        <w:pStyle w:val="BodyText"/>
      </w:pPr>
      <w:r>
        <w:rPr>
          <w:b/>
          <w:bCs/>
        </w:rPr>
        <w:t xml:space="preserve">Q: Is my data encrypted?</w:t>
      </w:r>
      <w:r>
        <w:t xml:space="preserve"> </w:t>
      </w:r>
      <w:r>
        <w:t xml:space="preserve">A: All communication is encrypted via HTTPS. Since we don't store your data, there's no data at rest to encrypt.</w:t>
      </w:r>
    </w:p>
    <w:p>
      <w:pPr>
        <w:pStyle w:val="BodyText"/>
      </w:pPr>
      <w:r>
        <w:rPr>
          <w:b/>
          <w:bCs/>
        </w:rPr>
        <w:t xml:space="preserve">Q: Can other users see my data?</w:t>
      </w:r>
      <w:r>
        <w:t xml:space="preserve"> </w:t>
      </w:r>
      <w:r>
        <w:t xml:space="preserve">A: No, all data processing is isolated per user session. No data is shared between users or stored centrally.</w:t>
      </w:r>
    </w:p>
    <w:p>
      <w:r>
        <w:pict>
          <v:rect style="width:0;height:1.5pt" o:hralign="center" o:hrstd="t" o:hr="t"/>
        </w:pict>
      </w:r>
    </w:p>
    <w:p>
      <w:pPr>
        <w:pStyle w:val="FirstParagraph"/>
      </w:pPr>
      <w:r>
        <w:drawing>
          <wp:inline>
            <wp:extent cx="228600" cy="228600"/>
            <wp:effectExtent b="0" l="0" r="0" t="0"/>
            <wp:docPr descr="" title="" id="11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PGNpcmNsZSBjeD0iMTIiIGN5PSIxMiIgcj0iMTAiPjwvY2lyY2xlPjxwYXRoIGQ9Im05IDEyIDIgMiA0LTQiIC8+PC9zdmc+" id="1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6"/>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Privacy Promise</w:t>
      </w:r>
    </w:p>
    <w:p>
      <w:pPr>
        <w:pStyle w:val="BodyText"/>
      </w:pPr>
      <w:r>
        <w:rPr>
          <w:b/>
          <w:bCs/>
        </w:rPr>
        <w:t xml:space="preserve">Your data stays with you.</w:t>
      </w:r>
      <w:r>
        <w:t xml:space="preserve"> </w:t>
      </w:r>
      <w:r>
        <w:t xml:space="preserve">We're committed to keeping your Microsoft tenant data exactly where it belongs - in your tenant, under your control.</w:t>
      </w:r>
    </w:p>
    <w:bookmarkEnd w:id="121"/>
    <w:bookmarkEnd w:id="122"/>
    <w:bookmarkEnd w:id="123"/>
    <w:p>
      <w:pPr>
        <w:pStyle w:val="BodyText"/>
      </w:pPr>
      <w:hyperlink r:id="rId29"/>
    </w:p>
    <w:p>
      <w:pPr>
        <w:pStyle w:val="BodyText"/>
      </w:pPr>
      <w:r>
        <w:drawing>
          <wp:inline>
            <wp:extent cx="228600" cy="228600"/>
            <wp:effectExtent b="0" l="0" r="0" t="0"/>
            <wp:docPr descr="" title="" id="12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ItbXgtMSBzaXplLTQgc2hyaW5rLTAgcnRsOnJvdGF0ZS0xODAiPjxwYXRoIGQ9Im0xNSAxOC02LTYgNi02IiAvPjwvc3ZnPg==" id="1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4"/>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User Access Control &amp; PIM Integration</w:t>
      </w:r>
    </w:p>
    <w:p>
      <w:pPr>
        <w:pStyle w:val="BodyText"/>
      </w:pPr>
      <w:r>
        <w:t xml:space="preserve">Configure secure multi-user access with role-based permissions and Privileged Identity Management</w:t>
      </w:r>
    </w:p>
    <w:p>
      <w:pPr>
        <w:pStyle w:val="BodyText"/>
      </w:pPr>
      <w:hyperlink r:id="rId127"/>
    </w:p>
    <w:p>
      <w:pPr>
        <w:pStyle w:val="BodyText"/>
      </w:pPr>
      <w:r>
        <w:drawing>
          <wp:inline>
            <wp:extent cx="228600" cy="228600"/>
            <wp:effectExtent b="0" l="0" r="0" t="0"/>
            <wp:docPr descr="" title="" id="12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ItbXgtMSBzaXplLTQgc2hyaW5rLTAgcnRsOnJvdGF0ZS0xODAiPjxwYXRoIGQ9Im05IDE4IDYtNi02LTYiIC8+PC9zdmc+" id="1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8"/>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Overview</w:t>
      </w:r>
    </w:p>
    <w:p>
      <w:pPr>
        <w:pStyle w:val="BodyText"/>
      </w:pPr>
      <w:r>
        <w:t xml:space="preserve">Comprehensive Microsoft Intune management module</w:t>
      </w:r>
    </w:p>
    <w:bookmarkStart w:id="135" w:name="nd-toc"/>
    <w:bookmarkStart w:id="134" w:name="toc-title"/>
    <w:p>
      <w:pPr>
        <w:pStyle w:val="Heading3"/>
      </w:pPr>
      <w:r>
        <w:drawing>
          <wp:inline>
            <wp:extent cx="228600" cy="228600"/>
            <wp:effectExtent b="0" l="0" r="0" t="0"/>
            <wp:docPr descr="" title="" id="13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zaXplLTQiPjxwYXRoIGQ9Ik0xNSAxOEgzIiAvPjxwYXRoIGQ9Ik0xNyA2SDMiIC8+PHBhdGggZD0iTTIxIDEySDMiIC8+PC9zdmc+" id="1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1"/>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On this page</w:t>
      </w:r>
    </w:p>
    <w:p>
      <w:pPr>
        <w:pStyle w:val="FirstParagraph"/>
      </w:pPr>
      <w:hyperlink w:anchor="data--privacy">
        <w:r>
          <w:rPr>
            <w:rStyle w:val="Hyperlink"/>
          </w:rPr>
          <w:t xml:space="preserve">Data &amp; Privacy</w:t>
        </w:r>
      </w:hyperlink>
      <w:hyperlink w:anchor="our-privacy-commitment">
        <w:r>
          <w:rPr>
            <w:rStyle w:val="Hyperlink"/>
          </w:rPr>
          <w:t xml:space="preserve">Our Privacy Commitment</w:t>
        </w:r>
      </w:hyperlink>
      <w:hyperlink w:anchor="data-storage--processing-overview">
        <w:r>
          <w:rPr>
            <w:rStyle w:val="Hyperlink"/>
          </w:rPr>
          <w:t xml:space="preserve">Data Storage &amp; Processing Overview</w:t>
        </w:r>
      </w:hyperlink>
      <w:hyperlink w:anchor="minimal-data-storage-approach">
        <w:r>
          <w:rPr>
            <w:rStyle w:val="Hyperlink"/>
          </w:rPr>
          <w:t xml:space="preserve">Minimal Data Storage Approach</w:t>
        </w:r>
      </w:hyperlink>
      <w:hyperlink w:anchor="how-we-process-your-data">
        <w:r>
          <w:rPr>
            <w:rStyle w:val="Hyperlink"/>
          </w:rPr>
          <w:t xml:space="preserve">How We Process Your Data</w:t>
        </w:r>
      </w:hyperlink>
      <w:hyperlink w:anchor="in-memory-processing-only">
        <w:r>
          <w:rPr>
            <w:rStyle w:val="Hyperlink"/>
          </w:rPr>
          <w:t xml:space="preserve">In-Memory Processing Only</w:t>
        </w:r>
      </w:hyperlink>
      <w:hyperlink w:anchor="data-flow-principles">
        <w:r>
          <w:rPr>
            <w:rStyle w:val="Hyperlink"/>
          </w:rPr>
          <w:t xml:space="preserve">Data Flow Principles</w:t>
        </w:r>
      </w:hyperlink>
      <w:hyperlink w:anchor="data-security-measures">
        <w:r>
          <w:rPr>
            <w:rStyle w:val="Hyperlink"/>
          </w:rPr>
          <w:t xml:space="preserve">Data Security Measures</w:t>
        </w:r>
      </w:hyperlink>
      <w:hyperlink w:anchor="technical-safeguards">
        <w:r>
          <w:rPr>
            <w:rStyle w:val="Hyperlink"/>
          </w:rPr>
          <w:t xml:space="preserve">Technical Safeguards</w:t>
        </w:r>
      </w:hyperlink>
      <w:hyperlink w:anchor="access-controls">
        <w:r>
          <w:rPr>
            <w:rStyle w:val="Hyperlink"/>
          </w:rPr>
          <w:t xml:space="preserve">Access Controls</w:t>
        </w:r>
      </w:hyperlink>
      <w:hyperlink w:anchor="compliance-standards">
        <w:r>
          <w:rPr>
            <w:rStyle w:val="Hyperlink"/>
          </w:rPr>
          <w:t xml:space="preserve">Compliance Standards</w:t>
        </w:r>
      </w:hyperlink>
      <w:hyperlink w:anchor="msp-privacy-considerations">
        <w:r>
          <w:rPr>
            <w:rStyle w:val="Hyperlink"/>
          </w:rPr>
          <w:t xml:space="preserve">MSP Privacy Considerations</w:t>
        </w:r>
      </w:hyperlink>
      <w:hyperlink w:anchor="multi-tenant-data-isolation">
        <w:r>
          <w:rPr>
            <w:rStyle w:val="Hyperlink"/>
          </w:rPr>
          <w:t xml:space="preserve">Multi-Tenant Data Isolation</w:t>
        </w:r>
      </w:hyperlink>
      <w:hyperlink w:anchor="customer-data-protection">
        <w:r>
          <w:rPr>
            <w:rStyle w:val="Hyperlink"/>
          </w:rPr>
          <w:t xml:space="preserve">Customer Data Protection</w:t>
        </w:r>
      </w:hyperlink>
      <w:hyperlink w:anchor="your-rights-and-controls">
        <w:r>
          <w:rPr>
            <w:rStyle w:val="Hyperlink"/>
          </w:rPr>
          <w:t xml:space="preserve">Your Rights and Controls</w:t>
        </w:r>
      </w:hyperlink>
      <w:hyperlink w:anchor="data-control">
        <w:r>
          <w:rPr>
            <w:rStyle w:val="Hyperlink"/>
          </w:rPr>
          <w:t xml:space="preserve">Data Control</w:t>
        </w:r>
      </w:hyperlink>
      <w:hyperlink w:anchor="transparency">
        <w:r>
          <w:rPr>
            <w:rStyle w:val="Hyperlink"/>
          </w:rPr>
          <w:t xml:space="preserve">Transparency</w:t>
        </w:r>
      </w:hyperlink>
      <w:hyperlink w:anchor="technical-questions">
        <w:r>
          <w:rPr>
            <w:rStyle w:val="Hyperlink"/>
          </w:rPr>
          <w:t xml:space="preserve">Technical Questions</w:t>
        </w:r>
      </w:hyperlink>
    </w:p>
    <w:bookmarkEnd w:id="134"/>
    <w:bookmarkEnd w:id="135"/>
    <w:bookmarkEnd w:id="136"/>
    <w:bookmarkEnd w:id="1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3" Target="media/rId43.svg" /><Relationship Type="http://schemas.openxmlformats.org/officeDocument/2006/relationships/image" Id="rId46" Target="media/rId46.svg" /><Relationship Type="http://schemas.openxmlformats.org/officeDocument/2006/relationships/image" Id="rId61" Target="media/rId61.svg" /><Relationship Type="http://schemas.openxmlformats.org/officeDocument/2006/relationships/image" Id="rId128" Target="media/rId128.svg" /><Relationship Type="http://schemas.openxmlformats.org/officeDocument/2006/relationships/image" Id="rId124" Target="media/rId124.svg" /><Relationship Type="http://schemas.openxmlformats.org/officeDocument/2006/relationships/image" Id="rId56" Target="media/rId56.svg" /><Relationship Type="http://schemas.openxmlformats.org/officeDocument/2006/relationships/image" Id="rId19" Target="media/rId19.svg" /><Relationship Type="http://schemas.openxmlformats.org/officeDocument/2006/relationships/image" Id="rId131" Target="media/rId131.svg" /><Relationship Type="http://schemas.openxmlformats.org/officeDocument/2006/relationships/image" Id="rId83" Target="media/rId83.svg" /><Relationship Type="http://schemas.openxmlformats.org/officeDocument/2006/relationships/image" Id="rId66" Target="media/rId66.svg" /><Relationship Type="http://schemas.openxmlformats.org/officeDocument/2006/relationships/image" Id="rId22" Target="media/rId22.svg" /><Relationship Type="http://schemas.openxmlformats.org/officeDocument/2006/relationships/image" Id="rId26" Target="media/rId26.svg" /><Relationship Type="http://schemas.openxmlformats.org/officeDocument/2006/relationships/image" Id="rId10" Target="media/rId10.svg" /><Relationship Type="http://schemas.openxmlformats.org/officeDocument/2006/relationships/image" Id="rId13" Target="media/rId13.svg" /><Relationship Type="http://schemas.openxmlformats.org/officeDocument/2006/relationships/image" Id="rId53" Target="media/rId53.svg" /><Relationship Type="http://schemas.openxmlformats.org/officeDocument/2006/relationships/hyperlink" Id="rId9" Target="/" TargetMode="External" /><Relationship Type="http://schemas.openxmlformats.org/officeDocument/2006/relationships/hyperlink" Id="rId30" Target="/docs/administration/data-and-privacy/" TargetMode="External" /><Relationship Type="http://schemas.openxmlformats.org/officeDocument/2006/relationships/hyperlink" Id="rId29" Target="/docs/administration/user-access-control/" TargetMode="External" /><Relationship Type="http://schemas.openxmlformats.org/officeDocument/2006/relationships/hyperlink" Id="rId127" Target="/docs/assistant/overview/" TargetMode="External" /><Relationship Type="http://schemas.openxmlformats.org/officeDocument/2006/relationships/hyperlink" Id="rId41" Target="/docs/faq/" TargetMode="External" /><Relationship Type="http://schemas.openxmlformats.org/officeDocument/2006/relationships/hyperlink" Id="rId42" Target="/docs/support/" TargetMode="External" /></Relationships>
</file>

<file path=word/_rels/footnotes.xml.rels><?xml version="1.0" encoding="UTF-8"?><Relationships xmlns="http://schemas.openxmlformats.org/package/2006/relationships"><Relationship Type="http://schemas.openxmlformats.org/officeDocument/2006/relationships/hyperlink" Id="rId9" Target="/" TargetMode="External" /><Relationship Type="http://schemas.openxmlformats.org/officeDocument/2006/relationships/hyperlink" Id="rId30" Target="/docs/administration/data-and-privacy/" TargetMode="External" /><Relationship Type="http://schemas.openxmlformats.org/officeDocument/2006/relationships/hyperlink" Id="rId29" Target="/docs/administration/user-access-control/" TargetMode="External" /><Relationship Type="http://schemas.openxmlformats.org/officeDocument/2006/relationships/hyperlink" Id="rId127" Target="/docs/assistant/overview/" TargetMode="External" /><Relationship Type="http://schemas.openxmlformats.org/officeDocument/2006/relationships/hyperlink" Id="rId41" Target="/docs/faq/" TargetMode="External" /><Relationship Type="http://schemas.openxmlformats.org/officeDocument/2006/relationships/hyperlink" Id="rId42" Target="/docs/suppor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&amp;amp; Privacy</dc:title>
  <dc:creator/>
  <cp:keywords/>
  <dcterms:created xsi:type="dcterms:W3CDTF">2026-01-08T11:56:47Z</dcterms:created>
  <dcterms:modified xsi:type="dcterms:W3CDTF">2026-01-08T11:56:47Z</dcterms:modified>
</cp:coreProperties>
</file>

<file path=docProps/custom.xml><?xml version="1.0" encoding="utf-8"?>
<Properties xmlns="http://schemas.openxmlformats.org/officeDocument/2006/custom-properties" xmlns:vt="http://schemas.openxmlformats.org/officeDocument/2006/docPropsVTypes"/>
</file>