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46.svg" ContentType="image/svg+xml"/>
  <Override PartName="/word/media/rId49.svg" ContentType="image/svg+xml"/>
  <Override PartName="/word/media/rId64.svg" ContentType="image/svg+xml"/>
  <Override PartName="/word/media/rId147.svg" ContentType="image/svg+xml"/>
  <Override PartName="/word/media/rId144.svg" ContentType="image/svg+xml"/>
  <Override PartName="/word/media/rId59.svg" ContentType="image/svg+xml"/>
  <Override PartName="/word/media/rId19.svg" ContentType="image/svg+xml"/>
  <Override PartName="/word/media/rId150.svg" ContentType="image/svg+xml"/>
  <Override PartName="/word/media/rId139.svg" ContentType="image/svg+xml"/>
  <Override PartName="/word/media/rId80.svg" ContentType="image/svg+xml"/>
  <Override PartName="/word/media/rId125.svg" ContentType="image/svg+xml"/>
  <Override PartName="/word/media/rId22.svg" ContentType="image/svg+xml"/>
  <Override PartName="/word/media/rId35.svg" ContentType="image/svg+xml"/>
  <Override PartName="/word/media/rId10.svg" ContentType="image/svg+xml"/>
  <Override PartName="/word/media/rId13.svg" ContentType="image/svg+xml"/>
  <Override PartName="/word/media/rId56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Switch Tenants</w:t>
      </w:r>
    </w:p>
    <w:bookmarkStart w:id="156" w:name="switch-tenants"/>
    <w:p>
      <w:pPr>
        <w:pStyle w:val="Heading1"/>
      </w:pPr>
      <w:r>
        <w:t xml:space="preserve">Switch Tenants</w:t>
      </w:r>
    </w:p>
    <w:bookmarkStart w:id="155" w:name="nd-docs-layout"/>
    <w:bookmarkStart w:id="16" w:name="nd-subnav"/>
    <w:p>
      <w:pPr>
        <w:pStyle w:val="FirstParagraph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1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"/>
    <w:p>
      <w:pPr>
        <w:pStyle w:val="BodyText"/>
      </w:pPr>
      <w:hyperlink r:id="rId9">
        <w:r>
          <w:rPr>
            <w:rStyle w:val="Hyperlink"/>
          </w:rPr>
          <w:t xml:space="preserve">IntuneAssistant Docs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jaXJjbGUgY3g9IjExIiBjeT0iMTEiIHI9IjgiPjwvY2lyY2xlPjxwYXRoIGQ9Im0yMSAyMS00LjMtNC4zIiAvPjwvc3ZnPg==" id="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Search</w:t>
      </w:r>
    </w:p>
    <w:p>
      <w:pPr>
        <w:pStyle w:val="BodyText"/>
      </w:pPr>
      <w:r>
        <w:t xml:space="preserve">⌘</w:t>
      </w:r>
      <w:r>
        <w:t xml:space="preserve">K</w:t>
      </w:r>
    </w:p>
    <w:p>
      <w:pPr>
        <w:pStyle w:val="BodyText"/>
      </w:pPr>
      <w:r>
        <w:t xml:space="preserve">Getting Started</w:t>
      </w:r>
      <w:r>
        <w:drawing>
          <wp:inline>
            <wp:extent cx="228600" cy="22860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5" w:name="radix-_R_qd5aitqlb_"/>
    <w:bookmarkEnd w:id="25"/>
    <w:p>
      <w:pPr>
        <w:pStyle w:val="BodyText"/>
      </w:pPr>
      <w:r>
        <w:t xml:space="preserve">Administration</w:t>
      </w:r>
      <w:r>
        <w:drawing>
          <wp:inline>
            <wp:extent cx="228600" cy="228600"/>
            <wp:effectExtent b="0" l="0" r="0" t="0"/>
            <wp:docPr descr="" title="" id="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28" w:name="radix-_R_1ad5aitqlb_"/>
    <w:bookmarkEnd w:id="28"/>
    <w:p>
      <w:pPr>
        <w:pStyle w:val="BodyText"/>
      </w:pPr>
      <w:r>
        <w:t xml:space="preserve">Intune Assistant</w:t>
      </w:r>
      <w:r>
        <w:drawing>
          <wp:inline>
            <wp:extent cx="228600" cy="228600"/>
            <wp:effectExtent b="0" l="0" r="0" t="0"/>
            <wp:docPr descr="" title="" id="29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1" w:name="radix-_R_1qd5aitqlb_"/>
    <w:bookmarkEnd w:id="31"/>
    <w:p>
      <w:pPr>
        <w:pStyle w:val="BodyText"/>
      </w:pPr>
      <w:r>
        <w:t xml:space="preserve">Extensions</w:t>
      </w:r>
      <w:r>
        <w:drawing>
          <wp:inline>
            <wp:extent cx="228600" cy="228600"/>
            <wp:effectExtent b="0" l="0" r="0" t="0"/>
            <wp:docPr descr="" title="" id="3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gLXJvdGF0ZS05MCI+PHBhdGggZD0ibTYgOSA2IDYgNi02IiAvPjwvc3ZnPg==" id="3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34" w:name="radix-_R_2ad5aitqlb_"/>
    <w:bookmarkEnd w:id="34"/>
    <w:p>
      <w:pPr>
        <w:pStyle w:val="BodyText"/>
      </w:pPr>
      <w:r>
        <w:t xml:space="preserve">Muti-Tenant Management (MSP)</w:t>
      </w:r>
      <w:r>
        <w:drawing>
          <wp:inline>
            <wp:extent cx="228600" cy="228600"/>
            <wp:effectExtent b="0" l="0" r="0" t="0"/>
            <wp:docPr descr="" title="" id="3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RhdGEtaWNvbj0idHJ1ZSIgY2xhc3M9Im1zLWF1dG8gdHJhbnNpdGlvbi10cmFuc2Zvcm0iPjxwYXRoIGQ9Im02IDkgNiA2IDYtNiIgLz48L3N2Zz4=" id="3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3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43" w:name="radix-_R_2qd5aitqlb_"/>
    <w:p>
      <w:pPr>
        <w:pStyle w:val="BodyText"/>
      </w:pPr>
      <w:hyperlink r:id="rId38">
        <w:r>
          <w:rPr>
            <w:rStyle w:val="Hyperlink"/>
          </w:rPr>
          <w:t xml:space="preserve">Multi-Tenant Overview</w:t>
        </w:r>
      </w:hyperlink>
      <w:hyperlink r:id="rId39">
        <w:r>
          <w:rPr>
            <w:rStyle w:val="Hyperlink"/>
          </w:rPr>
          <w:t xml:space="preserve">Multi-Tenant Permissions</w:t>
        </w:r>
      </w:hyperlink>
      <w:hyperlink r:id="rId40">
        <w:r>
          <w:rPr>
            <w:rStyle w:val="Hyperlink"/>
          </w:rPr>
          <w:t xml:space="preserve">License Management</w:t>
        </w:r>
      </w:hyperlink>
      <w:hyperlink r:id="rId41">
        <w:r>
          <w:rPr>
            <w:rStyle w:val="Hyperlink"/>
          </w:rPr>
          <w:t xml:space="preserve">Switch Tenants</w:t>
        </w:r>
      </w:hyperlink>
      <w:hyperlink r:id="rId42">
        <w:r>
          <w:rPr>
            <w:rStyle w:val="Hyperlink"/>
          </w:rPr>
          <w:t xml:space="preserve">Add Tenant</w:t>
        </w:r>
      </w:hyperlink>
    </w:p>
    <w:bookmarkEnd w:id="43"/>
    <w:p>
      <w:pPr>
        <w:pStyle w:val="BodyText"/>
      </w:pPr>
      <w:hyperlink r:id="rId44">
        <w:r>
          <w:rPr>
            <w:rStyle w:val="Hyperlink"/>
          </w:rPr>
          <w:t xml:space="preserve">Frequently Asked Questions</w:t>
        </w:r>
      </w:hyperlink>
      <w:hyperlink r:id="rId45">
        <w:r>
          <w:rPr>
            <w:rStyle w:val="Hyperlink"/>
          </w:rPr>
          <w:t xml:space="preserve">Support</w:t>
        </w:r>
      </w:hyperlink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4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jaXJjbGUgY3g9IjEyIiBjeT0iMTIiIHI9IjQiPjwvY2lyY2xlPjxwYXRoIGQ9Ik0xMiAydjIiIC8+PHBhdGggZD0iTTEyIDIwdjIiIC8+PHBhdGggZD0ibTQuOTMgNC45MyAxLjQxIDEuNDEiIC8+PHBhdGggZD0ibTE3LjY2IDE3LjY2IDEuNDEgMS40MSIgLz48cGF0aCBkPSJNMiAxMmgyIiAvPjxwYXRoIGQ9Ik0yMCAxMmgyIiAvPjxwYXRoIGQ9Im02LjM0IDE3LjY2LTEuNDEgMS40MSIgLz48cGF0aCBkPSJtMTkuMDcgNC45My0xLjQxIDEuNDEiIC8+PC9zdmc+" id="4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drawing>
          <wp:inline>
            <wp:extent cx="228600" cy="2286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jdXJyZW50Q29sb3IiIHN0cm9rZT0iY3VycmVudENvbG9yIiBzdHJva2Utd2lkdGg9IjIiIHN0cm9rZS1saW5lY2FwPSJyb3VuZCIgc3Ryb2tlLWxpbmVqb2luPSJyb3VuZCIgY2xhc3M9InNpemUtNi41IHJvdW5kZWQtZnVsbCBwLTEuNSB0ZXh0LWZkLW11dGVkLWZvcmVncm91bmQiPjxwYXRoIGQ9Ik0xMiAzYTYgNiAwIDAgMCA5IDkgOSA5IDAgMSAxLTktOVoiIC8+PC9zdmc+" id="5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yZWN0IHdpZHRoPSIxOCIgaGVpZ2h0PSIxOCIgeD0iMyIgeT0iMyIgcng9IjIiIC8+PHBhdGggZD0iTTkgM3YxOCIgLz48L3N2Zz4=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54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PjxjaXJjbGUgY3g9IjExIiBjeT0iMTEiIHI9IjgiPjwvY2lyY2xlPjxwYXRoIGQ9Im0yMSAyMS00LjMtNC4zIiAvPjwvc3ZnPg==" id="55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drawing>
          <wp:inline>
            <wp:extent cx="3810000" cy="2540000"/>
            <wp:effectExtent b="0" l="0" r="0" t="0"/>
            <wp:docPr descr="" title="" id="57" name="Picture"/>
            <a:graphic>
              <a:graphicData uri="http://schemas.openxmlformats.org/drawingml/2006/picture">
                <pic:pic>
                  <pic:nvPicPr>
                    <pic:cNvPr descr="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" id="5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6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Switch Tenants</w:t>
      </w:r>
      <w:r>
        <w:drawing>
          <wp:inline>
            <wp:extent cx="228600" cy="228600"/>
            <wp:effectExtent b="0" l="0" r="0" t="0"/>
            <wp:docPr descr="" title="" id="6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HJpbmstMCB0cmFuc2l0aW9uLXRyYW5zZm9ybSBteC0wLjUiPjxwYXRoIGQ9Im02IDkgNiA2IDYtNiIgLz48L3N2Zz4=" id="6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62" w:name="radix-_R_pbn5riitqlb_"/>
    <w:bookmarkEnd w:id="62"/>
    <w:p>
      <w:pPr>
        <w:pStyle w:val="BodyText"/>
      </w:pPr>
      <w:r>
        <w:t xml:space="preserve">Muti-Tenant Management (MSP)</w:t>
      </w:r>
    </w:p>
    <w:bookmarkStart w:id="63" w:name="switch-tenants-1"/>
    <w:p>
      <w:pPr>
        <w:pStyle w:val="Heading1"/>
      </w:pPr>
      <w:r>
        <w:t xml:space="preserve">Switch Tenants</w:t>
      </w:r>
    </w:p>
    <w:p>
      <w:pPr>
        <w:pStyle w:val="FirstParagraph"/>
      </w:pPr>
      <w:r>
        <w:t xml:space="preserve">How to switch between customer tenants in your MSP multi-tenant environment</w:t>
      </w:r>
    </w:p>
    <w:bookmarkEnd w:id="63"/>
    <w:bookmarkStart w:id="143" w:name="switch-tenants"/>
    <w:p>
      <w:pPr>
        <w:pStyle w:val="Heading1"/>
      </w:pPr>
      <w:hyperlink w:anchor="switch-tenants">
        <w:r>
          <w:rPr>
            <w:rStyle w:val="Hyperlink"/>
          </w:rPr>
          <w:t xml:space="preserve">Switch Tenants</w:t>
        </w:r>
      </w:hyperlink>
      <w:r>
        <w:drawing>
          <wp:inline>
            <wp:extent cx="228600" cy="228600"/>
            <wp:effectExtent b="0" l="0" r="0" t="0"/>
            <wp:docPr descr="" title="" id="6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Learn how to quickly switch between customer tenants in your MSP environment to manage multiple customer environments from a single interface.</w:t>
      </w:r>
    </w:p>
    <w:bookmarkStart w:id="69" w:name="overview"/>
    <w:p>
      <w:pPr>
        <w:pStyle w:val="Heading2"/>
      </w:pPr>
      <w:hyperlink w:anchor="overview">
        <w:r>
          <w:rPr>
            <w:rStyle w:val="Hyperlink"/>
          </w:rPr>
          <w:t xml:space="preserve">Overview</w:t>
        </w:r>
      </w:hyperlink>
      <w:r>
        <w:drawing>
          <wp:inline>
            <wp:extent cx="228600" cy="228600"/>
            <wp:effectExtent b="0" l="0" r="0" t="0"/>
            <wp:docPr descr="" title="" id="6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6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The tenant switching functionality allows MSPs to seamlessly move between different customer environments without losing context or requiring separate logins. This streamlines your workflow when managing multiple customer tenants.</w:t>
      </w:r>
    </w:p>
    <w:bookmarkEnd w:id="69"/>
    <w:bookmarkStart w:id="84" w:name="how-to-switch-tenants"/>
    <w:p>
      <w:pPr>
        <w:pStyle w:val="Heading2"/>
      </w:pPr>
      <w:hyperlink w:anchor="how-to-switch-tenants">
        <w:r>
          <w:rPr>
            <w:rStyle w:val="Hyperlink"/>
          </w:rPr>
          <w:t xml:space="preserve">How to Switch Tenants</w:t>
        </w:r>
      </w:hyperlink>
      <w:r>
        <w:drawing>
          <wp:inline>
            <wp:extent cx="228600" cy="228600"/>
            <wp:effectExtent b="0" l="0" r="0" t="0"/>
            <wp:docPr descr="" title="" id="7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74" w:name="step-1-navigate-to-customer-settings"/>
    <w:p>
      <w:pPr>
        <w:pStyle w:val="Heading3"/>
      </w:pPr>
      <w:hyperlink w:anchor="step-1-navigate-to-customer-settings">
        <w:r>
          <w:rPr>
            <w:rStyle w:val="Hyperlink"/>
          </w:rPr>
          <w:t xml:space="preserve">Step 1: Navigate to Customer Settings</w:t>
        </w:r>
      </w:hyperlink>
      <w:r>
        <w:drawing>
          <wp:inline>
            <wp:extent cx="228600" cy="228600"/>
            <wp:effectExtent b="0" l="0" r="0" t="0"/>
            <wp:docPr descr="" title="" id="7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Access your MSP home tenant</w:t>
      </w:r>
    </w:p>
    <w:p>
      <w:pPr>
        <w:pStyle w:val="Compact"/>
        <w:numPr>
          <w:ilvl w:val="1"/>
          <w:numId w:val="1002"/>
        </w:numPr>
      </w:pPr>
      <w:r>
        <w:t xml:space="preserve">Ensure you're logged into your primary MSP account</w:t>
      </w:r>
    </w:p>
    <w:p>
      <w:pPr>
        <w:pStyle w:val="Compact"/>
        <w:numPr>
          <w:ilvl w:val="1"/>
          <w:numId w:val="1002"/>
        </w:numPr>
      </w:pPr>
      <w:r>
        <w:t xml:space="preserve">Navigate to the main dashboard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Go to Customer Settings</w:t>
      </w:r>
    </w:p>
    <w:p>
      <w:pPr>
        <w:pStyle w:val="Compact"/>
        <w:numPr>
          <w:ilvl w:val="1"/>
          <w:numId w:val="1003"/>
        </w:numPr>
      </w:pPr>
      <w:r>
        <w:t xml:space="preserve">Click on</w:t>
      </w:r>
      <w:r>
        <w:t xml:space="preserve"> </w:t>
      </w:r>
      <w:r>
        <w:rPr>
          <w:b/>
          <w:bCs/>
        </w:rPr>
        <w:t xml:space="preserve">Customer Settings</w:t>
      </w:r>
      <w:r>
        <w:t xml:space="preserve"> </w:t>
      </w:r>
      <w:r>
        <w:t xml:space="preserve">in your MSP account menu</w:t>
      </w:r>
    </w:p>
    <w:p>
      <w:pPr>
        <w:pStyle w:val="Compact"/>
        <w:numPr>
          <w:ilvl w:val="1"/>
          <w:numId w:val="1003"/>
        </w:numPr>
      </w:pPr>
      <w:r>
        <w:t xml:space="preserve">This displays all your managed customer tenants</w:t>
      </w:r>
    </w:p>
    <w:bookmarkEnd w:id="74"/>
    <w:bookmarkStart w:id="77" w:name="step-2-select-target-tenant"/>
    <w:p>
      <w:pPr>
        <w:pStyle w:val="Heading3"/>
      </w:pPr>
      <w:hyperlink w:anchor="step-2-select-target-tenant">
        <w:r>
          <w:rPr>
            <w:rStyle w:val="Hyperlink"/>
          </w:rPr>
          <w:t xml:space="preserve">Step 2: Select Target Tenant</w:t>
        </w:r>
      </w:hyperlink>
      <w:r>
        <w:drawing>
          <wp:inline>
            <wp:extent cx="228600" cy="228600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Locate the customer tenant</w:t>
      </w:r>
    </w:p>
    <w:p>
      <w:pPr>
        <w:pStyle w:val="Compact"/>
        <w:numPr>
          <w:ilvl w:val="1"/>
          <w:numId w:val="1005"/>
        </w:numPr>
      </w:pPr>
      <w:r>
        <w:t xml:space="preserve">Browse through your list of managed customer tenants</w:t>
      </w:r>
    </w:p>
    <w:p>
      <w:pPr>
        <w:pStyle w:val="Compact"/>
        <w:numPr>
          <w:ilvl w:val="1"/>
          <w:numId w:val="1005"/>
        </w:numPr>
      </w:pPr>
      <w:r>
        <w:t xml:space="preserve">Find the tenant you want to switch to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Access tenant actions</w:t>
      </w:r>
    </w:p>
    <w:p>
      <w:pPr>
        <w:pStyle w:val="Compact"/>
        <w:numPr>
          <w:ilvl w:val="1"/>
          <w:numId w:val="1006"/>
        </w:numPr>
      </w:pPr>
      <w:r>
        <w:t xml:space="preserve">Click on the</w:t>
      </w:r>
      <w:r>
        <w:t xml:space="preserve"> </w:t>
      </w:r>
      <w:r>
        <w:rPr>
          <w:b/>
          <w:bCs/>
        </w:rPr>
        <w:t xml:space="preserve">Actions</w:t>
      </w:r>
      <w:r>
        <w:t xml:space="preserve"> </w:t>
      </w:r>
      <w:r>
        <w:t xml:space="preserve">button in the tenant row</w:t>
      </w:r>
    </w:p>
    <w:p>
      <w:pPr>
        <w:pStyle w:val="Compact"/>
        <w:numPr>
          <w:ilvl w:val="1"/>
          <w:numId w:val="1006"/>
        </w:numPr>
      </w:pPr>
      <w:r>
        <w:t xml:space="preserve">This opens the available actions for that specific tenant</w:t>
      </w:r>
    </w:p>
    <w:bookmarkEnd w:id="77"/>
    <w:bookmarkStart w:id="83" w:name="step-3-switch-to-tenant"/>
    <w:p>
      <w:pPr>
        <w:pStyle w:val="Heading3"/>
      </w:pPr>
      <w:hyperlink w:anchor="step-3-switch-to-tenant">
        <w:r>
          <w:rPr>
            <w:rStyle w:val="Hyperlink"/>
          </w:rPr>
          <w:t xml:space="preserve">Step 3: Switch to Tenant</w:t>
        </w:r>
      </w:hyperlink>
      <w:r>
        <w:drawing>
          <wp:inline>
            <wp:extent cx="228600" cy="228600"/>
            <wp:effectExtent b="0" l="0" r="0" t="0"/>
            <wp:docPr descr="" title="" id="7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7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Click "Select Tenant"</w:t>
      </w:r>
    </w:p>
    <w:p>
      <w:pPr>
        <w:pStyle w:val="Compact"/>
        <w:numPr>
          <w:ilvl w:val="1"/>
          <w:numId w:val="1008"/>
        </w:numPr>
      </w:pPr>
      <w:r>
        <w:t xml:space="preserve">From the actions menu, click</w:t>
      </w:r>
      <w:r>
        <w:t xml:space="preserve"> </w:t>
      </w:r>
      <w:r>
        <w:rPr>
          <w:b/>
          <w:bCs/>
        </w:rPr>
        <w:t xml:space="preserve">Select Tenant</w:t>
      </w:r>
    </w:p>
    <w:p>
      <w:pPr>
        <w:pStyle w:val="Compact"/>
        <w:numPr>
          <w:ilvl w:val="1"/>
          <w:numId w:val="1008"/>
        </w:numPr>
      </w:pPr>
      <w:r>
        <w:t xml:space="preserve">The system will initiate the tenant switch process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Automatic context switch</w:t>
      </w:r>
    </w:p>
    <w:p>
      <w:pPr>
        <w:pStyle w:val="Compact"/>
        <w:numPr>
          <w:ilvl w:val="1"/>
          <w:numId w:val="1009"/>
        </w:numPr>
      </w:pPr>
      <w:r>
        <w:t xml:space="preserve">The interface automatically updates to show the selected tenant</w:t>
      </w:r>
    </w:p>
    <w:p>
      <w:pPr>
        <w:pStyle w:val="Compact"/>
        <w:numPr>
          <w:ilvl w:val="1"/>
          <w:numId w:val="1009"/>
        </w:numPr>
      </w:pPr>
      <w:r>
        <w:t xml:space="preserve">All subsequent operations will be performed in the selected tenant context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m05IDEyIDIgMiA0LTQiIC8+PC9zdmc+" id="8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8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Quick Switch</w:t>
      </w:r>
    </w:p>
    <w:p>
      <w:pPr>
        <w:pStyle w:val="BodyText"/>
      </w:pPr>
      <w:r>
        <w:t xml:space="preserve">That's it! You're now working in the selected customer tenant environment with all the appropriate GDAP permissions applied.</w:t>
      </w:r>
    </w:p>
    <w:bookmarkEnd w:id="83"/>
    <w:bookmarkEnd w:id="84"/>
    <w:bookmarkStart w:id="96" w:name="what-happens-during-tenant-switch"/>
    <w:p>
      <w:pPr>
        <w:pStyle w:val="Heading2"/>
      </w:pPr>
      <w:hyperlink w:anchor="what-happens-during-tenant-switch">
        <w:r>
          <w:rPr>
            <w:rStyle w:val="Hyperlink"/>
          </w:rPr>
          <w:t xml:space="preserve">What Happens During Tenant Switch</w:t>
        </w:r>
      </w:hyperlink>
      <w:r>
        <w:drawing>
          <wp:inline>
            <wp:extent cx="228600" cy="228600"/>
            <wp:effectExtent b="0" l="0" r="0" t="0"/>
            <wp:docPr descr="" title="" id="8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89" w:name="authentication-context"/>
    <w:p>
      <w:pPr>
        <w:pStyle w:val="Heading3"/>
      </w:pPr>
      <w:hyperlink w:anchor="authentication-context">
        <w:r>
          <w:rPr>
            <w:rStyle w:val="Hyperlink"/>
          </w:rPr>
          <w:t xml:space="preserve">Authentication Context</w:t>
        </w:r>
      </w:hyperlink>
      <w:r>
        <w:drawing>
          <wp:inline>
            <wp:extent cx="228600" cy="228600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8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GDAP authentication</w:t>
      </w:r>
      <w:r>
        <w:t xml:space="preserve"> </w:t>
      </w:r>
      <w:r>
        <w:t xml:space="preserve">is applied for the selected tenant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Delegated permissions</w:t>
      </w:r>
      <w:r>
        <w:t xml:space="preserve"> </w:t>
      </w:r>
      <w:r>
        <w:t xml:space="preserve">are activated automatically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User context</w:t>
      </w:r>
      <w:r>
        <w:t xml:space="preserve"> </w:t>
      </w:r>
      <w:r>
        <w:t xml:space="preserve">is maintained throughout the switch</w:t>
      </w:r>
    </w:p>
    <w:bookmarkEnd w:id="89"/>
    <w:bookmarkStart w:id="92" w:name="interface-updates"/>
    <w:p>
      <w:pPr>
        <w:pStyle w:val="Heading3"/>
      </w:pPr>
      <w:hyperlink w:anchor="interface-updates">
        <w:r>
          <w:rPr>
            <w:rStyle w:val="Hyperlink"/>
          </w:rPr>
          <w:t xml:space="preserve">Interface Updates</w:t>
        </w:r>
      </w:hyperlink>
      <w:r>
        <w:drawing>
          <wp:inline>
            <wp:extent cx="228600" cy="228600"/>
            <wp:effectExtent b="0" l="0" r="0" t="0"/>
            <wp:docPr descr="" title="" id="9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Tenant indicator</w:t>
      </w:r>
      <w:r>
        <w:t xml:space="preserve"> </w:t>
      </w:r>
      <w:r>
        <w:t xml:space="preserve">shows current active tenant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Data context</w:t>
      </w:r>
      <w:r>
        <w:t xml:space="preserve"> </w:t>
      </w:r>
      <w:r>
        <w:t xml:space="preserve">switches to the selected tenant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Navigation menus</w:t>
      </w:r>
      <w:r>
        <w:t xml:space="preserve"> </w:t>
      </w:r>
      <w:r>
        <w:t xml:space="preserve">reflect tenant-specific options</w:t>
      </w:r>
    </w:p>
    <w:bookmarkEnd w:id="92"/>
    <w:bookmarkStart w:id="95" w:name="permission-application"/>
    <w:p>
      <w:pPr>
        <w:pStyle w:val="Heading3"/>
      </w:pPr>
      <w:hyperlink w:anchor="permission-application">
        <w:r>
          <w:rPr>
            <w:rStyle w:val="Hyperlink"/>
          </w:rPr>
          <w:t xml:space="preserve">Permission Application</w:t>
        </w:r>
      </w:hyperlink>
      <w:r>
        <w:drawing>
          <wp:inline>
            <wp:extent cx="228600" cy="22860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Role-based access</w:t>
      </w:r>
      <w:r>
        <w:t xml:space="preserve"> </w:t>
      </w:r>
      <w:r>
        <w:t xml:space="preserve">is applied based on GDAP configuration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Scope limitations</w:t>
      </w:r>
      <w:r>
        <w:t xml:space="preserve"> </w:t>
      </w:r>
      <w:r>
        <w:t xml:space="preserve">are enforced automatically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Audit trail</w:t>
      </w:r>
      <w:r>
        <w:t xml:space="preserve"> </w:t>
      </w:r>
      <w:r>
        <w:t xml:space="preserve">records the tenant switch activity</w:t>
      </w:r>
    </w:p>
    <w:bookmarkEnd w:id="95"/>
    <w:bookmarkEnd w:id="96"/>
    <w:bookmarkStart w:id="99" w:name="current-tenant-indicator"/>
    <w:p>
      <w:pPr>
        <w:pStyle w:val="Heading2"/>
      </w:pPr>
      <w:hyperlink w:anchor="current-tenant-indicator">
        <w:r>
          <w:rPr>
            <w:rStyle w:val="Hyperlink"/>
          </w:rPr>
          <w:t xml:space="preserve">Current Tenant Indicator</w:t>
        </w:r>
      </w:hyperlink>
      <w:r>
        <w:drawing>
          <wp:inline>
            <wp:extent cx="228600" cy="228600"/>
            <wp:effectExtent b="0" l="0" r="0" t="0"/>
            <wp:docPr descr="" title="" id="9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9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After switching tenants, you can identify your current context through: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Tenant name</w:t>
      </w:r>
      <w:r>
        <w:t xml:space="preserve"> </w:t>
      </w:r>
      <w:r>
        <w:t xml:space="preserve">displayed in the interface header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Tenant-specific branding</w:t>
      </w:r>
      <w:r>
        <w:t xml:space="preserve"> </w:t>
      </w:r>
      <w:r>
        <w:t xml:space="preserve">if configured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Context indicators</w:t>
      </w:r>
      <w:r>
        <w:t xml:space="preserve"> </w:t>
      </w:r>
      <w:r>
        <w:t xml:space="preserve">throughout the interface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Breadcrumb navigation</w:t>
      </w:r>
      <w:r>
        <w:t xml:space="preserve"> </w:t>
      </w:r>
      <w:r>
        <w:t xml:space="preserve">showing current tenant</w:t>
      </w:r>
    </w:p>
    <w:bookmarkEnd w:id="99"/>
    <w:bookmarkStart w:id="111" w:name="best-practices"/>
    <w:p>
      <w:pPr>
        <w:pStyle w:val="Heading2"/>
      </w:pPr>
      <w:hyperlink w:anchor="best-practices">
        <w:r>
          <w:rPr>
            <w:rStyle w:val="Hyperlink"/>
          </w:rPr>
          <w:t xml:space="preserve">Best Practices</w:t>
        </w:r>
      </w:hyperlink>
      <w:r>
        <w:drawing>
          <wp:inline>
            <wp:extent cx="228600" cy="228600"/>
            <wp:effectExtent b="0" l="0" r="0" t="0"/>
            <wp:docPr descr="" title="" id="10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04" w:name="before-switching"/>
    <w:p>
      <w:pPr>
        <w:pStyle w:val="Heading3"/>
      </w:pPr>
      <w:hyperlink w:anchor="before-switching">
        <w:r>
          <w:rPr>
            <w:rStyle w:val="Hyperlink"/>
          </w:rPr>
          <w:t xml:space="preserve">Before Switching</w:t>
        </w:r>
      </w:hyperlink>
      <w:r>
        <w:drawing>
          <wp:inline>
            <wp:extent cx="228600" cy="228600"/>
            <wp:effectExtent b="0" l="0" r="0" t="0"/>
            <wp:docPr descr="" title="" id="10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Complete current operations</w:t>
      </w:r>
      <w:r>
        <w:t xml:space="preserve"> </w:t>
      </w:r>
      <w:r>
        <w:t xml:space="preserve">in the active tenant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Save any pending changes</w:t>
      </w:r>
      <w:r>
        <w:t xml:space="preserve"> </w:t>
      </w:r>
      <w:r>
        <w:t xml:space="preserve">to avoid data loss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Note the target tenant</w:t>
      </w:r>
      <w:r>
        <w:t xml:space="preserve"> </w:t>
      </w:r>
      <w:r>
        <w:t xml:space="preserve">to ensure correct selection</w:t>
      </w:r>
    </w:p>
    <w:bookmarkEnd w:id="104"/>
    <w:bookmarkStart w:id="107" w:name="during-operations"/>
    <w:p>
      <w:pPr>
        <w:pStyle w:val="Heading3"/>
      </w:pPr>
      <w:hyperlink w:anchor="during-operations">
        <w:r>
          <w:rPr>
            <w:rStyle w:val="Hyperlink"/>
          </w:rPr>
          <w:t xml:space="preserve">During Operations</w:t>
        </w:r>
      </w:hyperlink>
      <w:r>
        <w:drawing>
          <wp:inline>
            <wp:extent cx="228600" cy="228600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Verify tenant context</w:t>
      </w:r>
      <w:r>
        <w:t xml:space="preserve"> </w:t>
      </w:r>
      <w:r>
        <w:t xml:space="preserve">before making changes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Use tenant indicators</w:t>
      </w:r>
      <w:r>
        <w:t xml:space="preserve"> </w:t>
      </w:r>
      <w:r>
        <w:t xml:space="preserve">to confirm active environment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Be mindful of cross-tenant operations</w:t>
      </w:r>
    </w:p>
    <w:bookmarkEnd w:id="107"/>
    <w:bookmarkStart w:id="110" w:name="security-considerations"/>
    <w:p>
      <w:pPr>
        <w:pStyle w:val="Heading3"/>
      </w:pPr>
      <w:hyperlink w:anchor="security-considerations">
        <w:r>
          <w:rPr>
            <w:rStyle w:val="Hyperlink"/>
          </w:rPr>
          <w:t xml:space="preserve">Security Considerations</w:t>
        </w:r>
      </w:hyperlink>
      <w:r>
        <w:drawing>
          <wp:inline>
            <wp:extent cx="228600" cy="228600"/>
            <wp:effectExtent b="0" l="0" r="0" t="0"/>
            <wp:docPr descr="" title="" id="10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0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Verify permissions</w:t>
      </w:r>
      <w:r>
        <w:t xml:space="preserve"> </w:t>
      </w:r>
      <w:r>
        <w:t xml:space="preserve">in the new tenant context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GDAP status</w:t>
      </w:r>
      <w:r>
        <w:t xml:space="preserve"> </w:t>
      </w:r>
      <w:r>
        <w:t xml:space="preserve">if access issues occur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Log out completely</w:t>
      </w:r>
      <w:r>
        <w:t xml:space="preserve"> </w:t>
      </w:r>
      <w:r>
        <w:t xml:space="preserve">when finishing work</w:t>
      </w:r>
    </w:p>
    <w:bookmarkEnd w:id="110"/>
    <w:bookmarkEnd w:id="111"/>
    <w:bookmarkStart w:id="114" w:name="switching-back-to-home-tenant"/>
    <w:p>
      <w:pPr>
        <w:pStyle w:val="Heading2"/>
      </w:pPr>
      <w:hyperlink w:anchor="switching-back-to-home-tenant">
        <w:r>
          <w:rPr>
            <w:rStyle w:val="Hyperlink"/>
          </w:rPr>
          <w:t xml:space="preserve">Switching Back to Home Tenant</w:t>
        </w:r>
      </w:hyperlink>
      <w:r>
        <w:drawing>
          <wp:inline>
            <wp:extent cx="228600" cy="228600"/>
            <wp:effectExtent b="0" l="0" r="0" t="0"/>
            <wp:docPr descr="" title="" id="112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To return to your MSP home tenant: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Access Customer Settings</w:t>
      </w:r>
      <w:r>
        <w:t xml:space="preserve"> </w:t>
      </w:r>
      <w:r>
        <w:t xml:space="preserve">again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Look for "Home Tenant"</w:t>
      </w:r>
      <w:r>
        <w:t xml:space="preserve"> </w:t>
      </w:r>
      <w:r>
        <w:t xml:space="preserve">option in the interface</w:t>
      </w:r>
    </w:p>
    <w:p>
      <w:pPr>
        <w:pStyle w:val="Compact"/>
        <w:numPr>
          <w:ilvl w:val="0"/>
          <w:numId w:val="1017"/>
        </w:numPr>
      </w:pPr>
      <w:r>
        <w:rPr>
          <w:b/>
          <w:bCs/>
        </w:rPr>
        <w:t xml:space="preserve">Click to return</w:t>
      </w:r>
      <w:r>
        <w:t xml:space="preserve"> </w:t>
      </w:r>
      <w:r>
        <w:t xml:space="preserve">to your primary MSP context</w:t>
      </w:r>
    </w:p>
    <w:p>
      <w:pPr>
        <w:pStyle w:val="FirstParagraph"/>
      </w:pPr>
      <w:r>
        <w:t xml:space="preserve">Or use the tenant selector if available in the main navigation.</w:t>
      </w:r>
    </w:p>
    <w:bookmarkEnd w:id="114"/>
    <w:bookmarkStart w:id="129" w:name="troubleshooting"/>
    <w:p>
      <w:pPr>
        <w:pStyle w:val="Heading2"/>
      </w:pPr>
      <w:hyperlink w:anchor="troubleshooting">
        <w:r>
          <w:rPr>
            <w:rStyle w:val="Hyperlink"/>
          </w:rPr>
          <w:t xml:space="preserve">Troubleshooting</w:t>
        </w:r>
      </w:hyperlink>
      <w:r>
        <w:drawing>
          <wp:inline>
            <wp:extent cx="228600" cy="228600"/>
            <wp:effectExtent b="0" l="0" r="0" t="0"/>
            <wp:docPr descr="" title="" id="11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Start w:id="119" w:name="cannot-switch-to-tenant"/>
    <w:p>
      <w:pPr>
        <w:pStyle w:val="Heading3"/>
      </w:pPr>
      <w:hyperlink w:anchor="cannot-switch-to-tenant">
        <w:r>
          <w:rPr>
            <w:rStyle w:val="Hyperlink"/>
          </w:rPr>
          <w:t xml:space="preserve">Cannot Switch to Tenant</w:t>
        </w:r>
      </w:hyperlink>
      <w:r>
        <w:drawing>
          <wp:inline>
            <wp:extent cx="228600" cy="228600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18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Possible causes:</w:t>
      </w:r>
    </w:p>
    <w:p>
      <w:pPr>
        <w:pStyle w:val="Compact"/>
        <w:numPr>
          <w:ilvl w:val="0"/>
          <w:numId w:val="1018"/>
        </w:numPr>
      </w:pPr>
      <w:r>
        <w:t xml:space="preserve">GDAP relationship expired or revoked</w:t>
      </w:r>
    </w:p>
    <w:p>
      <w:pPr>
        <w:pStyle w:val="Compact"/>
        <w:numPr>
          <w:ilvl w:val="0"/>
          <w:numId w:val="1018"/>
        </w:numPr>
      </w:pPr>
      <w:r>
        <w:t xml:space="preserve">Customer disabled delegated access</w:t>
      </w:r>
    </w:p>
    <w:p>
      <w:pPr>
        <w:pStyle w:val="Compact"/>
        <w:numPr>
          <w:ilvl w:val="0"/>
          <w:numId w:val="1018"/>
        </w:numPr>
      </w:pPr>
      <w:r>
        <w:t xml:space="preserve">Network connectivity issues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pStyle w:val="Compact"/>
        <w:numPr>
          <w:ilvl w:val="0"/>
          <w:numId w:val="1019"/>
        </w:numPr>
      </w:pPr>
      <w:r>
        <w:t xml:space="preserve">Check GDAP status in Partner Center</w:t>
      </w:r>
    </w:p>
    <w:p>
      <w:pPr>
        <w:pStyle w:val="Compact"/>
        <w:numPr>
          <w:ilvl w:val="0"/>
          <w:numId w:val="1019"/>
        </w:numPr>
      </w:pPr>
      <w:r>
        <w:t xml:space="preserve">Contact customer to verify permissions</w:t>
      </w:r>
    </w:p>
    <w:p>
      <w:pPr>
        <w:pStyle w:val="Compact"/>
        <w:numPr>
          <w:ilvl w:val="0"/>
          <w:numId w:val="1019"/>
        </w:numPr>
      </w:pPr>
      <w:r>
        <w:t xml:space="preserve">Refresh the page and try again</w:t>
      </w:r>
    </w:p>
    <w:bookmarkEnd w:id="119"/>
    <w:bookmarkStart w:id="122" w:name="tenant-not-responding"/>
    <w:p>
      <w:pPr>
        <w:pStyle w:val="Heading3"/>
      </w:pPr>
      <w:hyperlink w:anchor="tenant-not-responding">
        <w:r>
          <w:rPr>
            <w:rStyle w:val="Hyperlink"/>
          </w:rPr>
          <w:t xml:space="preserve">Tenant Not Responding</w:t>
        </w:r>
      </w:hyperlink>
      <w:r>
        <w:drawing>
          <wp:inline>
            <wp:extent cx="228600" cy="228600"/>
            <wp:effectExtent b="0" l="0" r="0" t="0"/>
            <wp:docPr descr="" title="" id="12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Possible causes:</w:t>
      </w:r>
    </w:p>
    <w:p>
      <w:pPr>
        <w:pStyle w:val="Compact"/>
        <w:numPr>
          <w:ilvl w:val="0"/>
          <w:numId w:val="1020"/>
        </w:numPr>
      </w:pPr>
      <w:r>
        <w:t xml:space="preserve">Tenant-specific service issues</w:t>
      </w:r>
    </w:p>
    <w:p>
      <w:pPr>
        <w:pStyle w:val="Compact"/>
        <w:numPr>
          <w:ilvl w:val="0"/>
          <w:numId w:val="1020"/>
        </w:numPr>
      </w:pPr>
      <w:r>
        <w:t xml:space="preserve">GDAP permission synchronization delay</w:t>
      </w:r>
    </w:p>
    <w:p>
      <w:pPr>
        <w:pStyle w:val="Compact"/>
        <w:numPr>
          <w:ilvl w:val="0"/>
          <w:numId w:val="1020"/>
        </w:numPr>
      </w:pPr>
      <w:r>
        <w:t xml:space="preserve">Network or authentication problems</w:t>
      </w:r>
    </w:p>
    <w:p>
      <w:pPr>
        <w:pStyle w:val="FirstParagraph"/>
      </w:pPr>
      <w:r>
        <w:rPr>
          <w:b/>
          <w:bCs/>
        </w:rPr>
        <w:t xml:space="preserve">Solutions:</w:t>
      </w:r>
    </w:p>
    <w:p>
      <w:pPr>
        <w:pStyle w:val="Compact"/>
        <w:numPr>
          <w:ilvl w:val="0"/>
          <w:numId w:val="1021"/>
        </w:numPr>
      </w:pPr>
      <w:r>
        <w:t xml:space="preserve">Wait a few minutes and retry</w:t>
      </w:r>
    </w:p>
    <w:p>
      <w:pPr>
        <w:pStyle w:val="Compact"/>
        <w:numPr>
          <w:ilvl w:val="0"/>
          <w:numId w:val="1021"/>
        </w:numPr>
      </w:pPr>
      <w:r>
        <w:t xml:space="preserve">Check Microsoft service health</w:t>
      </w:r>
    </w:p>
    <w:p>
      <w:pPr>
        <w:pStyle w:val="Compact"/>
        <w:numPr>
          <w:ilvl w:val="0"/>
          <w:numId w:val="1021"/>
        </w:numPr>
      </w:pPr>
      <w:r>
        <w:t xml:space="preserve">Verify internet connectivity</w:t>
      </w:r>
    </w:p>
    <w:bookmarkEnd w:id="122"/>
    <w:bookmarkStart w:id="128" w:name="wrong-tenant-context"/>
    <w:p>
      <w:pPr>
        <w:pStyle w:val="Heading3"/>
      </w:pPr>
      <w:hyperlink w:anchor="wrong-tenant-context">
        <w:r>
          <w:rPr>
            <w:rStyle w:val="Hyperlink"/>
          </w:rPr>
          <w:t xml:space="preserve">Wrong Tenant Context</w:t>
        </w:r>
      </w:hyperlink>
      <w:r>
        <w:drawing>
          <wp:inline>
            <wp:extent cx="228600" cy="228600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2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rPr>
          <w:b/>
          <w:bCs/>
        </w:rPr>
        <w:t xml:space="preserve">If you're in the wrong tenant:</w:t>
      </w:r>
    </w:p>
    <w:p>
      <w:pPr>
        <w:pStyle w:val="Compact"/>
        <w:numPr>
          <w:ilvl w:val="0"/>
          <w:numId w:val="1022"/>
        </w:numPr>
      </w:pPr>
      <w:r>
        <w:t xml:space="preserve">Immediately stop any operations</w:t>
      </w:r>
    </w:p>
    <w:p>
      <w:pPr>
        <w:pStyle w:val="Compact"/>
        <w:numPr>
          <w:ilvl w:val="0"/>
          <w:numId w:val="1022"/>
        </w:numPr>
      </w:pPr>
      <w:r>
        <w:t xml:space="preserve">Switch to the correct tenant using the same process</w:t>
      </w:r>
    </w:p>
    <w:p>
      <w:pPr>
        <w:pStyle w:val="Compact"/>
        <w:numPr>
          <w:ilvl w:val="0"/>
          <w:numId w:val="1022"/>
        </w:numPr>
      </w:pPr>
      <w:r>
        <w:t xml:space="preserve">Verify current context before proceeding</w:t>
      </w:r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26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HBhdGggZD0ibTIxLjczIDE4LTgtMTRhMiAyIDAgMCAwLTMuNDggMGwtOCAxNEEyIDIgMCAwIDAgNCAyMWgxNmEyIDIgMCAwIDAgMS43My0zIiAvPjxwYXRoIGQ9Ik0xMiA5djQiIC8+PHBhdGggZD0iTTEyIDE3aC4wMSIgLz48L3N2Zz4=" id="127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25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Double-Check Context</w:t>
      </w:r>
    </w:p>
    <w:p>
      <w:pPr>
        <w:pStyle w:val="BodyText"/>
      </w:pPr>
      <w:r>
        <w:t xml:space="preserve">Always verify you're in the correct tenant context before making any configuration changes. Operations in the wrong tenant can affect the wrong customer environment.</w:t>
      </w:r>
    </w:p>
    <w:bookmarkEnd w:id="128"/>
    <w:bookmarkEnd w:id="129"/>
    <w:bookmarkStart w:id="132" w:name="keyboard-shortcuts"/>
    <w:p>
      <w:pPr>
        <w:pStyle w:val="Heading2"/>
      </w:pPr>
      <w:hyperlink w:anchor="keyboard-shortcuts">
        <w:r>
          <w:rPr>
            <w:rStyle w:val="Hyperlink"/>
          </w:rPr>
          <w:t xml:space="preserve">Keyboard Shortcuts</w:t>
        </w:r>
      </w:hyperlink>
      <w:r>
        <w:drawing>
          <wp:inline>
            <wp:extent cx="228600" cy="228600"/>
            <wp:effectExtent b="0" l="0" r="0" t="0"/>
            <wp:docPr descr="" title="" id="13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3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FirstParagraph"/>
      </w:pPr>
      <w:r>
        <w:t xml:space="preserve">Some common shortcuts to improve efficiency: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Quick tenant search</w:t>
      </w:r>
      <w:r>
        <w:t xml:space="preserve"> </w:t>
      </w:r>
      <w:r>
        <w:t xml:space="preserve">- Use search functionality in customer settings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Recently accessed</w:t>
      </w:r>
      <w:r>
        <w:t xml:space="preserve"> </w:t>
      </w:r>
      <w:r>
        <w:t xml:space="preserve">- Some interfaces show recently accessed tenants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Favorites</w:t>
      </w:r>
      <w:r>
        <w:t xml:space="preserve"> </w:t>
      </w:r>
      <w:r>
        <w:t xml:space="preserve">- Mark frequently accessed tenants for quick access</w:t>
      </w:r>
    </w:p>
    <w:bookmarkEnd w:id="132"/>
    <w:bookmarkStart w:id="142" w:name="related-documentation"/>
    <w:p>
      <w:pPr>
        <w:pStyle w:val="Heading2"/>
      </w:pPr>
      <w:hyperlink w:anchor="related-documentation">
        <w:r>
          <w:rPr>
            <w:rStyle w:val="Hyperlink"/>
          </w:rPr>
          <w:t xml:space="preserve">Related Documentation</w:t>
        </w:r>
      </w:hyperlink>
      <w:r>
        <w:drawing>
          <wp:inline>
            <wp:extent cx="228600" cy="228600"/>
            <wp:effectExtent b="0" l="0" r="0" t="0"/>
            <wp:docPr descr="" title="" id="133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FyaWEtaGlkZGVuPSJ0cnVlIiBjbGFzcz0ic2l6ZS0zLjUgc2hyaW5rLTAgdGV4dC1mZC1tdXRlZC1mb3JlZ3JvdW5kIG9wYWNpdHktMCB0cmFuc2l0aW9uLW9wYWNpdHkgcGVlci1ob3ZlcjpvcGFjaXR5LTEwMCI+PHBhdGggZD0iTTEwIDEzYTUgNSAwIDAgMCA3LjU0LjU0bDMtM2E1IDUgMCAwIDAtNy4wNy03LjA3bC0xLjcyIDEuNzEiIC8+PHBhdGggZD0iTTE0IDExYTUgNSAwIDAgMC03LjU0LS41NGwtMyAzYTUgNSAwIDAgMCA3LjA3IDcuMDdsMS43MS0xLjcxIiAvPjwvc3ZnPg==" id="13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6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Compact"/>
        <w:numPr>
          <w:ilvl w:val="0"/>
          <w:numId w:val="1024"/>
        </w:numPr>
      </w:pPr>
      <w:hyperlink r:id="rId135">
        <w:r>
          <w:rPr>
            <w:rStyle w:val="Hyperlink"/>
          </w:rPr>
          <w:t xml:space="preserve">Add Tenant</w:t>
        </w:r>
      </w:hyperlink>
    </w:p>
    <w:p>
      <w:pPr>
        <w:pStyle w:val="Compact"/>
        <w:numPr>
          <w:ilvl w:val="0"/>
          <w:numId w:val="1024"/>
        </w:numPr>
      </w:pPr>
      <w:hyperlink r:id="rId136">
        <w:r>
          <w:rPr>
            <w:rStyle w:val="Hyperlink"/>
          </w:rPr>
          <w:t xml:space="preserve">Multi-Tenant Overview</w:t>
        </w:r>
      </w:hyperlink>
    </w:p>
    <w:p>
      <w:pPr>
        <w:pStyle w:val="Compact"/>
        <w:numPr>
          <w:ilvl w:val="0"/>
          <w:numId w:val="1024"/>
        </w:numPr>
      </w:pPr>
      <w:hyperlink r:id="rId137">
        <w:r>
          <w:rPr>
            <w:rStyle w:val="Hyperlink"/>
          </w:rPr>
          <w:t xml:space="preserve">GDAP Management</w:t>
        </w:r>
      </w:hyperlink>
    </w:p>
    <w:p>
      <w:pPr>
        <w:pStyle w:val="Compact"/>
        <w:numPr>
          <w:ilvl w:val="0"/>
          <w:numId w:val="1024"/>
        </w:numPr>
      </w:pPr>
      <w:hyperlink r:id="rId138">
        <w:r>
          <w:rPr>
            <w:rStyle w:val="Hyperlink"/>
          </w:rPr>
          <w:t xml:space="preserve">MSP Best Practices</w:t>
        </w:r>
      </w:hyperlink>
    </w:p>
    <w:p>
      <w:pPr>
        <w:pStyle w:val="FirstParagraph"/>
      </w:pPr>
      <w:r>
        <w:drawing>
          <wp:inline>
            <wp:extent cx="228600" cy="228600"/>
            <wp:effectExtent b="0" l="0" r="0" t="0"/>
            <wp:docPr descr="" title="" id="140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UgLW1lLTAuNSBmaWxsLSgtLWNhbGxvdXQtY29sb3IpIHRleHQtZmQtY2FyZCI+PGNpcmNsZSBjeD0iMTIiIGN5PSIxMiIgcj0iMTAiPjwvY2lyY2xlPjxwYXRoIGQ9Ik0xMiAxNnYtNCIgLz48cGF0aCBkPSJNMTIgOGguMDEiIC8+PC9zdmc+" id="141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39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Efficiency Tip</w:t>
      </w:r>
    </w:p>
    <w:p>
      <w:pPr>
        <w:pStyle w:val="BodyText"/>
      </w:pPr>
      <w:r>
        <w:t xml:space="preserve">Organize your customer list by priority or frequency of access to make tenant switching faster and more efficient.</w:t>
      </w:r>
    </w:p>
    <w:bookmarkEnd w:id="142"/>
    <w:bookmarkEnd w:id="143"/>
    <w:p>
      <w:pPr>
        <w:pStyle w:val="BodyText"/>
      </w:pPr>
      <w:hyperlink r:id="rId40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5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xNSAxOC02LTYgNi02IiAvPjwvc3ZnPg==" id="14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License Management</w:t>
      </w:r>
    </w:p>
    <w:p>
      <w:pPr>
        <w:pStyle w:val="BodyText"/>
      </w:pPr>
      <w:r>
        <w:t xml:space="preserve">How to add and remove licenses for customer tenants in your MSP environment</w:t>
      </w:r>
    </w:p>
    <w:p>
      <w:pPr>
        <w:pStyle w:val="BodyText"/>
      </w:pPr>
      <w:hyperlink r:id="rId42"/>
    </w:p>
    <w:p>
      <w:pPr>
        <w:pStyle w:val="BodyText"/>
      </w:pPr>
      <w:r>
        <w:drawing>
          <wp:inline>
            <wp:extent cx="228600" cy="228600"/>
            <wp:effectExtent b="0" l="0" r="0" t="0"/>
            <wp:docPr descr="" title="" id="148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ItbXgtMSBzaXplLTQgc2hyaW5rLTAgcnRsOnJvdGF0ZS0xODAiPjxwYXRoIGQ9Im05IDE4IDYtNi02LTYiIC8+PC9zdmc+" id="149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47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Add Tenant</w:t>
      </w:r>
    </w:p>
    <w:p>
      <w:pPr>
        <w:pStyle w:val="BodyText"/>
      </w:pPr>
      <w:r>
        <w:t xml:space="preserve">Step-by-step guide for adding customer tenants to your MSP home tenant</w:t>
      </w:r>
    </w:p>
    <w:bookmarkStart w:id="154" w:name="nd-toc"/>
    <w:bookmarkStart w:id="153" w:name="toc-title"/>
    <w:p>
      <w:pPr>
        <w:pStyle w:val="Heading3"/>
      </w:pPr>
      <w:r>
        <w:drawing>
          <wp:inline>
            <wp:extent cx="228600" cy="228600"/>
            <wp:effectExtent b="0" l="0" r="0" t="0"/>
            <wp:docPr descr="" title="" id="151" name="Picture"/>
            <a:graphic>
              <a:graphicData uri="http://schemas.openxmlformats.org/drawingml/2006/picture">
                <pic:pic>
                  <pic:nvPicPr>
                    <pic:cNvPr descr="data:image/svg+xml;base64,PHN2ZyB4bWxucz0iaHR0cDovL3d3dy53My5vcmcvMjAwMC9zdmciIHdpZHRoPSIyNCIgaGVpZ2h0PSIyNCIgdmlld2JveD0iMCAwIDI0IDI0IiBmaWxsPSJub25lIiBzdHJva2U9ImN1cnJlbnRDb2xvciIgc3Ryb2tlLXdpZHRoPSIyIiBzdHJva2UtbGluZWNhcD0icm91bmQiIHN0cm9rZS1saW5lam9pbj0icm91bmQiIGNsYXNzPSJzaXplLTQiPjxwYXRoIGQ9Ik0xNSAxOEgzIiAvPjxwYXRoIGQ9Ik0xNyA2SDMiIC8+PHBhdGggZD0iTTIxIDEySDMiIC8+PC9zdmc+" id="152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5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On this page</w:t>
      </w:r>
    </w:p>
    <w:p>
      <w:pPr>
        <w:pStyle w:val="FirstParagraph"/>
      </w:pPr>
      <w:hyperlink w:anchor="switch-tenants">
        <w:r>
          <w:rPr>
            <w:rStyle w:val="Hyperlink"/>
          </w:rPr>
          <w:t xml:space="preserve">Switch Tenants</w:t>
        </w:r>
      </w:hyperlink>
      <w:hyperlink w:anchor="overview">
        <w:r>
          <w:rPr>
            <w:rStyle w:val="Hyperlink"/>
          </w:rPr>
          <w:t xml:space="preserve">Overview</w:t>
        </w:r>
      </w:hyperlink>
      <w:hyperlink w:anchor="how-to-switch-tenants">
        <w:r>
          <w:rPr>
            <w:rStyle w:val="Hyperlink"/>
          </w:rPr>
          <w:t xml:space="preserve">How to Switch Tenants</w:t>
        </w:r>
      </w:hyperlink>
      <w:hyperlink w:anchor="step-1-navigate-to-customer-settings">
        <w:r>
          <w:rPr>
            <w:rStyle w:val="Hyperlink"/>
          </w:rPr>
          <w:t xml:space="preserve">Step 1: Navigate to Customer Settings</w:t>
        </w:r>
      </w:hyperlink>
      <w:hyperlink w:anchor="step-2-select-target-tenant">
        <w:r>
          <w:rPr>
            <w:rStyle w:val="Hyperlink"/>
          </w:rPr>
          <w:t xml:space="preserve">Step 2: Select Target Tenant</w:t>
        </w:r>
      </w:hyperlink>
      <w:hyperlink w:anchor="step-3-switch-to-tenant">
        <w:r>
          <w:rPr>
            <w:rStyle w:val="Hyperlink"/>
          </w:rPr>
          <w:t xml:space="preserve">Step 3: Switch to Tenant</w:t>
        </w:r>
      </w:hyperlink>
      <w:hyperlink w:anchor="what-happens-during-tenant-switch">
        <w:r>
          <w:rPr>
            <w:rStyle w:val="Hyperlink"/>
          </w:rPr>
          <w:t xml:space="preserve">What Happens During Tenant Switch</w:t>
        </w:r>
      </w:hyperlink>
      <w:hyperlink w:anchor="authentication-context">
        <w:r>
          <w:rPr>
            <w:rStyle w:val="Hyperlink"/>
          </w:rPr>
          <w:t xml:space="preserve">Authentication Context</w:t>
        </w:r>
      </w:hyperlink>
      <w:hyperlink w:anchor="interface-updates">
        <w:r>
          <w:rPr>
            <w:rStyle w:val="Hyperlink"/>
          </w:rPr>
          <w:t xml:space="preserve">Interface Updates</w:t>
        </w:r>
      </w:hyperlink>
      <w:hyperlink w:anchor="permission-application">
        <w:r>
          <w:rPr>
            <w:rStyle w:val="Hyperlink"/>
          </w:rPr>
          <w:t xml:space="preserve">Permission Application</w:t>
        </w:r>
      </w:hyperlink>
      <w:hyperlink w:anchor="current-tenant-indicator">
        <w:r>
          <w:rPr>
            <w:rStyle w:val="Hyperlink"/>
          </w:rPr>
          <w:t xml:space="preserve">Current Tenant Indicator</w:t>
        </w:r>
      </w:hyperlink>
      <w:hyperlink w:anchor="best-practices">
        <w:r>
          <w:rPr>
            <w:rStyle w:val="Hyperlink"/>
          </w:rPr>
          <w:t xml:space="preserve">Best Practices</w:t>
        </w:r>
      </w:hyperlink>
      <w:hyperlink w:anchor="before-switching">
        <w:r>
          <w:rPr>
            <w:rStyle w:val="Hyperlink"/>
          </w:rPr>
          <w:t xml:space="preserve">Before Switching</w:t>
        </w:r>
      </w:hyperlink>
      <w:hyperlink w:anchor="during-operations">
        <w:r>
          <w:rPr>
            <w:rStyle w:val="Hyperlink"/>
          </w:rPr>
          <w:t xml:space="preserve">During Operations</w:t>
        </w:r>
      </w:hyperlink>
      <w:hyperlink w:anchor="security-considerations">
        <w:r>
          <w:rPr>
            <w:rStyle w:val="Hyperlink"/>
          </w:rPr>
          <w:t xml:space="preserve">Security Considerations</w:t>
        </w:r>
      </w:hyperlink>
      <w:hyperlink w:anchor="switching-back-to-home-tenant">
        <w:r>
          <w:rPr>
            <w:rStyle w:val="Hyperlink"/>
          </w:rPr>
          <w:t xml:space="preserve">Switching Back to Home Tenant</w:t>
        </w:r>
      </w:hyperlink>
      <w:hyperlink w:anchor="troubleshooting">
        <w:r>
          <w:rPr>
            <w:rStyle w:val="Hyperlink"/>
          </w:rPr>
          <w:t xml:space="preserve">Troubleshooting</w:t>
        </w:r>
      </w:hyperlink>
      <w:hyperlink w:anchor="cannot-switch-to-tenant">
        <w:r>
          <w:rPr>
            <w:rStyle w:val="Hyperlink"/>
          </w:rPr>
          <w:t xml:space="preserve">Cannot Switch to Tenant</w:t>
        </w:r>
      </w:hyperlink>
      <w:hyperlink w:anchor="tenant-not-responding">
        <w:r>
          <w:rPr>
            <w:rStyle w:val="Hyperlink"/>
          </w:rPr>
          <w:t xml:space="preserve">Tenant Not Responding</w:t>
        </w:r>
      </w:hyperlink>
      <w:hyperlink w:anchor="wrong-tenant-context">
        <w:r>
          <w:rPr>
            <w:rStyle w:val="Hyperlink"/>
          </w:rPr>
          <w:t xml:space="preserve">Wrong Tenant Context</w:t>
        </w:r>
      </w:hyperlink>
      <w:hyperlink w:anchor="keyboard-shortcuts">
        <w:r>
          <w:rPr>
            <w:rStyle w:val="Hyperlink"/>
          </w:rPr>
          <w:t xml:space="preserve">Keyboard Shortcuts</w:t>
        </w:r>
      </w:hyperlink>
      <w:hyperlink w:anchor="related-documentation">
        <w:r>
          <w:rPr>
            <w:rStyle w:val="Hyperlink"/>
          </w:rPr>
          <w:t xml:space="preserve">Related Documentation</w:t>
        </w:r>
      </w:hyperlink>
    </w:p>
    <w:bookmarkEnd w:id="153"/>
    <w:bookmarkEnd w:id="154"/>
    <w:bookmarkEnd w:id="155"/>
    <w:bookmarkEnd w:id="15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46" Target="media/rId46.svg" /><Relationship Type="http://schemas.openxmlformats.org/officeDocument/2006/relationships/image" Id="rId49" Target="media/rId49.svg" /><Relationship Type="http://schemas.openxmlformats.org/officeDocument/2006/relationships/image" Id="rId64" Target="media/rId64.svg" /><Relationship Type="http://schemas.openxmlformats.org/officeDocument/2006/relationships/image" Id="rId147" Target="media/rId147.svg" /><Relationship Type="http://schemas.openxmlformats.org/officeDocument/2006/relationships/image" Id="rId144" Target="media/rId144.svg" /><Relationship Type="http://schemas.openxmlformats.org/officeDocument/2006/relationships/image" Id="rId59" Target="media/rId59.svg" /><Relationship Type="http://schemas.openxmlformats.org/officeDocument/2006/relationships/image" Id="rId19" Target="media/rId19.svg" /><Relationship Type="http://schemas.openxmlformats.org/officeDocument/2006/relationships/image" Id="rId150" Target="media/rId150.svg" /><Relationship Type="http://schemas.openxmlformats.org/officeDocument/2006/relationships/image" Id="rId139" Target="media/rId139.svg" /><Relationship Type="http://schemas.openxmlformats.org/officeDocument/2006/relationships/image" Id="rId80" Target="media/rId80.svg" /><Relationship Type="http://schemas.openxmlformats.org/officeDocument/2006/relationships/image" Id="rId125" Target="media/rId125.svg" /><Relationship Type="http://schemas.openxmlformats.org/officeDocument/2006/relationships/image" Id="rId22" Target="media/rId22.svg" /><Relationship Type="http://schemas.openxmlformats.org/officeDocument/2006/relationships/image" Id="rId35" Target="media/rId35.svg" /><Relationship Type="http://schemas.openxmlformats.org/officeDocument/2006/relationships/image" Id="rId10" Target="media/rId10.svg" /><Relationship Type="http://schemas.openxmlformats.org/officeDocument/2006/relationships/image" Id="rId13" Target="media/rId13.svg" /><Relationship Type="http://schemas.openxmlformats.org/officeDocument/2006/relationships/image" Id="rId56" Target="media/rId56.svg" /><Relationship Type="http://schemas.openxmlformats.org/officeDocument/2006/relationships/hyperlink" Id="rId9" Target="/" TargetMode="External" /><Relationship Type="http://schemas.openxmlformats.org/officeDocument/2006/relationships/hyperlink" Id="rId135" Target="/docs/administration/multi-tenant/add-tenant/" TargetMode="External" /><Relationship Type="http://schemas.openxmlformats.org/officeDocument/2006/relationships/hyperlink" Id="rId136" Target="/docs/administration/multi-tenant/overview/" TargetMode="External" /><Relationship Type="http://schemas.openxmlformats.org/officeDocument/2006/relationships/hyperlink" Id="rId138" Target="/docs/administration/permissions/msp-permissions/" TargetMode="External" /><Relationship Type="http://schemas.openxmlformats.org/officeDocument/2006/relationships/hyperlink" Id="rId44" Target="/docs/faq/" TargetMode="External" /><Relationship Type="http://schemas.openxmlformats.org/officeDocument/2006/relationships/hyperlink" Id="rId137" Target="/docs/getting-started/gdap-setup/" TargetMode="External" /><Relationship Type="http://schemas.openxmlformats.org/officeDocument/2006/relationships/hyperlink" Id="rId42" Target="/docs/msp/add-tenant/" TargetMode="External" /><Relationship Type="http://schemas.openxmlformats.org/officeDocument/2006/relationships/hyperlink" Id="rId40" Target="/docs/msp/license-management/" TargetMode="External" /><Relationship Type="http://schemas.openxmlformats.org/officeDocument/2006/relationships/hyperlink" Id="rId38" Target="/docs/msp/overview/" TargetMode="External" /><Relationship Type="http://schemas.openxmlformats.org/officeDocument/2006/relationships/hyperlink" Id="rId39" Target="/docs/msp/permissions/" TargetMode="External" /><Relationship Type="http://schemas.openxmlformats.org/officeDocument/2006/relationships/hyperlink" Id="rId41" Target="/docs/msp/switch-tenants/" TargetMode="External" /><Relationship Type="http://schemas.openxmlformats.org/officeDocument/2006/relationships/hyperlink" Id="rId45" Target="/docs/support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/" TargetMode="External" /><Relationship Type="http://schemas.openxmlformats.org/officeDocument/2006/relationships/hyperlink" Id="rId135" Target="/docs/administration/multi-tenant/add-tenant/" TargetMode="External" /><Relationship Type="http://schemas.openxmlformats.org/officeDocument/2006/relationships/hyperlink" Id="rId136" Target="/docs/administration/multi-tenant/overview/" TargetMode="External" /><Relationship Type="http://schemas.openxmlformats.org/officeDocument/2006/relationships/hyperlink" Id="rId138" Target="/docs/administration/permissions/msp-permissions/" TargetMode="External" /><Relationship Type="http://schemas.openxmlformats.org/officeDocument/2006/relationships/hyperlink" Id="rId44" Target="/docs/faq/" TargetMode="External" /><Relationship Type="http://schemas.openxmlformats.org/officeDocument/2006/relationships/hyperlink" Id="rId137" Target="/docs/getting-started/gdap-setup/" TargetMode="External" /><Relationship Type="http://schemas.openxmlformats.org/officeDocument/2006/relationships/hyperlink" Id="rId42" Target="/docs/msp/add-tenant/" TargetMode="External" /><Relationship Type="http://schemas.openxmlformats.org/officeDocument/2006/relationships/hyperlink" Id="rId40" Target="/docs/msp/license-management/" TargetMode="External" /><Relationship Type="http://schemas.openxmlformats.org/officeDocument/2006/relationships/hyperlink" Id="rId38" Target="/docs/msp/overview/" TargetMode="External" /><Relationship Type="http://schemas.openxmlformats.org/officeDocument/2006/relationships/hyperlink" Id="rId39" Target="/docs/msp/permissions/" TargetMode="External" /><Relationship Type="http://schemas.openxmlformats.org/officeDocument/2006/relationships/hyperlink" Id="rId41" Target="/docs/msp/switch-tenants/" TargetMode="External" /><Relationship Type="http://schemas.openxmlformats.org/officeDocument/2006/relationships/hyperlink" Id="rId45" Target="/docs/support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Switch Tenants</dc:title>
  <dc:creator/>
  <cp:keywords/>
  <dcterms:created xsi:type="dcterms:W3CDTF">2026-01-08T11:56:49Z</dcterms:created>
  <dcterms:modified xsi:type="dcterms:W3CDTF">2026-01-08T11:56:49Z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