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svg" ContentType="image/svg+xml"/>
  <Override PartName="/word/media/rId46.svg" ContentType="image/svg+xml"/>
  <Override PartName="/word/media/rId61.svg" ContentType="image/svg+xml"/>
  <Override PartName="/word/media/rId86.svg" ContentType="image/svg+xml"/>
  <Override PartName="/word/media/rId83.svg" ContentType="image/svg+xml"/>
  <Override PartName="/word/media/rId56.svg" ContentType="image/svg+xml"/>
  <Override PartName="/word/media/rId19.svg" ContentType="image/svg+xml"/>
  <Override PartName="/word/media/rId89.svg" ContentType="image/svg+xml"/>
  <Override PartName="/word/media/rId22.svg" ContentType="image/svg+xml"/>
  <Override PartName="/word/media/rId26.svg" ContentType="image/svg+xml"/>
  <Override PartName="/word/media/rId10.svg" ContentType="image/svg+xml"/>
  <Override PartName="/word/media/rId13.svg" ContentType="image/svg+xml"/>
  <Override PartName="/word/media/rId5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User Access Control &amp;amp; PIM Integration</w:t>
      </w:r>
    </w:p>
    <w:bookmarkStart w:id="95" w:name="user-access-control-amp-pim-integration"/>
    <w:p>
      <w:pPr>
        <w:pStyle w:val="Heading1"/>
      </w:pPr>
      <w:r>
        <w:t xml:space="preserve">User Access Control &amp;amp; PIM Integration</w:t>
      </w:r>
    </w:p>
    <w:bookmarkStart w:id="94" w:name="nd-docs-layout"/>
    <w:bookmarkStart w:id="16" w:name="nd-subnav"/>
    <w:p>
      <w:pPr>
        <w:pStyle w:val="FirstParagraph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p>
      <w:pPr>
        <w:pStyle w:val="BodyText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==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Search</w:t>
      </w:r>
    </w:p>
    <w:p>
      <w:pPr>
        <w:pStyle w:val="BodyText"/>
      </w:pPr>
      <w:r>
        <w:t xml:space="preserve">⌘</w:t>
      </w:r>
      <w:r>
        <w:t xml:space="preserve">K</w:t>
      </w:r>
    </w:p>
    <w:p>
      <w:pPr>
        <w:pStyle w:val="BodyText"/>
      </w:pPr>
      <w:r>
        <w:t xml:space="preserve">Getting Started</w:t>
      </w:r>
      <w:r>
        <w:drawing>
          <wp:inline>
            <wp:extent cx="228600" cy="228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radix-_R_qd5aitqlb_"/>
    <w:bookmarkEnd w:id="25"/>
    <w:p>
      <w:pPr>
        <w:pStyle w:val="BodyText"/>
      </w:pPr>
      <w:r>
        <w:t xml:space="preserve">Administration</w:t>
      </w:r>
      <w:r>
        <w:drawing>
          <wp:inline>
            <wp:extent cx="228600" cy="2286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=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radix-_R_1ad5aitqlb_"/>
    <w:p>
      <w:pPr>
        <w:pStyle w:val="BodyText"/>
      </w:pPr>
      <w:hyperlink r:id="rId29">
        <w:r>
          <w:rPr>
            <w:rStyle w:val="Hyperlink"/>
          </w:rPr>
          <w:t xml:space="preserve">User Access Control &amp; PIM Integration</w:t>
        </w:r>
      </w:hyperlink>
      <w:hyperlink r:id="rId30">
        <w:r>
          <w:rPr>
            <w:rStyle w:val="Hyperlink"/>
          </w:rPr>
          <w:t xml:space="preserve">Data &amp; Privacy</w:t>
        </w:r>
      </w:hyperlink>
    </w:p>
    <w:bookmarkEnd w:id="31"/>
    <w:p>
      <w:pPr>
        <w:pStyle w:val="BodyText"/>
      </w:pPr>
      <w:r>
        <w:t xml:space="preserve">Intune Assistant</w:t>
      </w:r>
      <w:r>
        <w:drawing>
          <wp:inline>
            <wp:extent cx="228600" cy="2286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4" w:name="radix-_R_1qd5aitqlb_"/>
    <w:bookmarkEnd w:id="34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7" w:name="radix-_R_2ad5aitqlb_"/>
    <w:bookmarkEnd w:id="37"/>
    <w:p>
      <w:pPr>
        <w:pStyle w:val="BodyText"/>
      </w:pPr>
      <w:r>
        <w:t xml:space="preserve">Muti-Tenant Management (MSP)</w:t>
      </w:r>
      <w:r>
        <w:drawing>
          <wp:inline>
            <wp:extent cx="228600" cy="2286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0" w:name="radix-_R_2qd5aitqlb_"/>
    <w:bookmarkEnd w:id="40"/>
    <w:p>
      <w:pPr>
        <w:pStyle w:val="BodyText"/>
      </w:pPr>
      <w:hyperlink r:id="rId41">
        <w:r>
          <w:rPr>
            <w:rStyle w:val="Hyperlink"/>
          </w:rPr>
          <w:t xml:space="preserve">Frequently Asked Questions</w:t>
        </w:r>
      </w:hyperlink>
      <w:hyperlink r:id="rId42">
        <w:r>
          <w:rPr>
            <w:rStyle w:val="Hyperlink"/>
          </w:rPr>
          <w:t xml:space="preserve">Support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+PHBhdGggZD0iTTEyIDIwdjIiIC8+PHBhdGggZD0ibTQuOTMgNC45MyAxLjQxIDEuNDEiIC8+PHBhdGggZD0ibTE3LjY2IDE3LjY2IDEuNDEgMS40MSIgLz48cGF0aCBkPSJNMiAxMmgyIiAvPjxwYXRoIGQ9Ik0yMCAxMmgyIiAvPjxwYXRoIGQ9Im02LjM0IDE3LjY2LTEuNDEgMS40MSIgLz48cGF0aCBkPSJtMTkuMDcgNC45My0xLjQxIDEuNDEiIC8+PC9zdmc+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28600" cy="2286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+PC9zdmc+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svg+xml;base64,PHN2ZyByb2xlPSJwcm9ncmVzc2JhciIgdmlld2JveD0iMCAwIDI0IDI0IiBhcmlhLXZhbHVlbm93PSIwIiBhcmlhLXZhbHVlbWluPSIwIiBhcmlhLXZhbHVlbWF4PSIxIiBjbGFzcz0ic2hyaW5rLTAiPjxjaXJjbGUgY3g9IjEyIiBjeT0iMTIiIHI9IjExIiBmaWxsPSJub25lIiBzdHJva2Utd2lkdGg9IjIiIGNsYXNzPSJzdHJva2UtY3VycmVudC8yNSI+PC9jaXJjbGU+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=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User Access Control &amp; PIM Integration</w:t>
      </w:r>
      <w:r>
        <w:drawing>
          <wp:inline>
            <wp:extent cx="228600" cy="2286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=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9" w:name="radix-_R_pbn5riitqlb_"/>
    <w:bookmarkEnd w:id="59"/>
    <w:p>
      <w:pPr>
        <w:pStyle w:val="BodyText"/>
      </w:pPr>
      <w:r>
        <w:t xml:space="preserve">Administration</w:t>
      </w:r>
    </w:p>
    <w:bookmarkStart w:id="60" w:name="user-access-control-pim-integration"/>
    <w:p>
      <w:pPr>
        <w:pStyle w:val="Heading1"/>
      </w:pPr>
      <w:r>
        <w:t xml:space="preserve">User Access Control &amp; PIM Integration</w:t>
      </w:r>
    </w:p>
    <w:p>
      <w:pPr>
        <w:pStyle w:val="FirstParagraph"/>
      </w:pPr>
      <w:r>
        <w:t xml:space="preserve">Configure secure multi-user access with role-based permissions and Privileged Identity Management</w:t>
      </w:r>
    </w:p>
    <w:bookmarkEnd w:id="60"/>
    <w:bookmarkStart w:id="81" w:name="user-access-control--pim-integration"/>
    <w:p>
      <w:pPr>
        <w:pStyle w:val="Heading1"/>
      </w:pPr>
      <w:hyperlink w:anchor="user-access-control--pim-integration">
        <w:r>
          <w:rPr>
            <w:rStyle w:val="Hyperlink"/>
          </w:rPr>
          <w:t xml:space="preserve">User Access Control &amp; PIM Integration</w:t>
        </w:r>
      </w:hyperlink>
      <w:r>
        <w:drawing>
          <wp:inline>
            <wp:extent cx="228600" cy="2286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IntuneAssistant supports secure multi-user environments through proper access control and integration with Microsoft Entra Privileged Identity Management (PIM).</w:t>
      </w:r>
    </w:p>
    <w:bookmarkStart w:id="72" w:name="access-control-overview"/>
    <w:p>
      <w:pPr>
        <w:pStyle w:val="Heading2"/>
      </w:pPr>
      <w:hyperlink w:anchor="access-control-overview">
        <w:r>
          <w:rPr>
            <w:rStyle w:val="Hyperlink"/>
          </w:rPr>
          <w:t xml:space="preserve">Access Control Overview</w:t>
        </w:r>
      </w:hyperlink>
      <w:r>
        <w:drawing>
          <wp:inline>
            <wp:extent cx="228600" cy="2286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8" w:name="default-behavior"/>
    <w:p>
      <w:pPr>
        <w:pStyle w:val="Heading3"/>
      </w:pPr>
      <w:hyperlink w:anchor="default-behavior">
        <w:r>
          <w:rPr>
            <w:rStyle w:val="Hyperlink"/>
          </w:rPr>
          <w:t xml:space="preserve">Default Behavior</w:t>
        </w:r>
      </w:hyperlink>
      <w:r>
        <w:drawing>
          <wp:inline>
            <wp:extent cx="228600" cy="2286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t xml:space="preserve">Only the user who completes onboarding can initially access IntuneAssistant</w:t>
      </w:r>
    </w:p>
    <w:p>
      <w:pPr>
        <w:pStyle w:val="Compact"/>
        <w:numPr>
          <w:ilvl w:val="0"/>
          <w:numId w:val="1001"/>
        </w:numPr>
      </w:pPr>
      <w:r>
        <w:t xml:space="preserve">The service principal is created with restricted access by default</w:t>
      </w:r>
    </w:p>
    <w:p>
      <w:pPr>
        <w:pStyle w:val="Compact"/>
        <w:numPr>
          <w:ilvl w:val="0"/>
          <w:numId w:val="1001"/>
        </w:numPr>
      </w:pPr>
      <w:r>
        <w:t xml:space="preserve">Additional users must be explicitly granted access</w:t>
      </w:r>
    </w:p>
    <w:bookmarkEnd w:id="68"/>
    <w:bookmarkStart w:id="71" w:name="security-principles"/>
    <w:p>
      <w:pPr>
        <w:pStyle w:val="Heading3"/>
      </w:pPr>
      <w:hyperlink w:anchor="security-principles">
        <w:r>
          <w:rPr>
            <w:rStyle w:val="Hyperlink"/>
          </w:rPr>
          <w:t xml:space="preserve">Security Principles</w:t>
        </w:r>
      </w:hyperlink>
      <w:r>
        <w:drawing>
          <wp:inline>
            <wp:extent cx="228600" cy="2286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Least Privilege</w:t>
      </w:r>
      <w:r>
        <w:t xml:space="preserve">: Grant minimum required access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Explicit Assignment</w:t>
      </w:r>
      <w:r>
        <w:t xml:space="preserve">: Never rely on organization-wide consent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Role-Based Access</w:t>
      </w:r>
      <w:r>
        <w:t xml:space="preserve">: Use PIM for time-limited administrative access</w:t>
      </w:r>
    </w:p>
    <w:bookmarkEnd w:id="71"/>
    <w:bookmarkEnd w:id="72"/>
    <w:bookmarkStart w:id="80" w:name="user-assignment-methods"/>
    <w:p>
      <w:pPr>
        <w:pStyle w:val="Heading2"/>
      </w:pPr>
      <w:hyperlink w:anchor="user-assignment-methods">
        <w:r>
          <w:rPr>
            <w:rStyle w:val="Hyperlink"/>
          </w:rPr>
          <w:t xml:space="preserve">User Assignment Methods</w:t>
        </w:r>
      </w:hyperlink>
      <w:r>
        <w:drawing>
          <wp:inline>
            <wp:extent cx="228600" cy="2286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9" w:name="method-1-direct-user-assignment"/>
    <w:p>
      <w:pPr>
        <w:pStyle w:val="Heading3"/>
      </w:pPr>
      <w:hyperlink w:anchor="method-1-direct-user-assignment">
        <w:r>
          <w:rPr>
            <w:rStyle w:val="Hyperlink"/>
          </w:rPr>
          <w:t xml:space="preserve">Method 1: Direct User Assignment</w:t>
        </w:r>
      </w:hyperlink>
      <w:r>
        <w:drawing>
          <wp:inline>
            <wp:extent cx="228600" cy="2286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Navigate to Microsoft Entra ID</w:t>
      </w:r>
    </w:p>
    <w:p>
      <w:pPr>
        <w:pStyle w:val="Compact"/>
        <w:numPr>
          <w:ilvl w:val="1"/>
          <w:numId w:val="1004"/>
        </w:numPr>
      </w:pPr>
      <w:r>
        <w:t xml:space="preserve">Go to</w:t>
      </w:r>
      <w:r>
        <w:t xml:space="preserve"> </w:t>
      </w:r>
      <w:hyperlink r:id="rId77">
        <w:r>
          <w:rPr>
            <w:rStyle w:val="Hyperlink"/>
          </w:rPr>
          <w:t xml:space="preserve">Azure Portal</w:t>
        </w:r>
      </w:hyperlink>
      <w:r>
        <w:t xml:space="preserve"> </w:t>
      </w:r>
      <w:r>
        <w:t xml:space="preserve">or</w:t>
      </w:r>
      <w:r>
        <w:t xml:space="preserve"> </w:t>
      </w:r>
      <w:hyperlink r:id="rId78">
        <w:r>
          <w:rPr>
            <w:rStyle w:val="Hyperlink"/>
          </w:rPr>
          <w:t xml:space="preserve">Entra Admin Center</w:t>
        </w:r>
      </w:hyperlink>
    </w:p>
    <w:p>
      <w:pPr>
        <w:pStyle w:val="Compact"/>
        <w:numPr>
          <w:ilvl w:val="1"/>
          <w:numId w:val="100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Enterprise Applications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Locate IntuneAssistant Service Principals</w:t>
      </w:r>
    </w:p>
    <w:p>
      <w:pPr>
        <w:pStyle w:val="Compact"/>
        <w:numPr>
          <w:ilvl w:val="1"/>
          <w:numId w:val="1005"/>
        </w:numPr>
      </w:pPr>
      <w:r>
        <w:t xml:space="preserve">Search for "Intune Assistant"</w:t>
      </w:r>
    </w:p>
    <w:p>
      <w:pPr>
        <w:pStyle w:val="Compact"/>
        <w:numPr>
          <w:ilvl w:val="1"/>
          <w:numId w:val="1005"/>
        </w:numPr>
      </w:pPr>
      <w:r>
        <w:t xml:space="preserve">You'll find two applications: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Intune Assistant</w:t>
      </w:r>
      <w:r>
        <w:t xml:space="preserve"> </w:t>
      </w:r>
      <w:r>
        <w:t xml:space="preserve">(Main Application)</w:t>
      </w:r>
    </w:p>
    <w:p>
      <w:pPr>
        <w:pStyle w:val="Compact"/>
        <w:numPr>
          <w:ilvl w:val="2"/>
          <w:numId w:val="1006"/>
        </w:numPr>
      </w:pPr>
      <w:r>
        <w:rPr>
          <w:b/>
          <w:bCs/>
        </w:rPr>
        <w:t xml:space="preserve">Intune Assistant API</w:t>
      </w:r>
      <w:r>
        <w:t xml:space="preserve"> </w:t>
      </w:r>
      <w:r>
        <w:t xml:space="preserve">(Backend Service)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Assign Users to Both Applications</w:t>
      </w:r>
    </w:p>
    <w:bookmarkEnd w:id="79"/>
    <w:bookmarkEnd w:id="80"/>
    <w:bookmarkEnd w:id="81"/>
    <w:p>
      <w:pPr>
        <w:pStyle w:val="FirstParagraph"/>
      </w:pPr>
      <w:hyperlink r:id="rId82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xNSAxOC02LTYgNi02IiAvPjwvc3ZnPg==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Managing Admin Consent</w:t>
      </w:r>
    </w:p>
    <w:p>
      <w:pPr>
        <w:pStyle w:val="BodyText"/>
      </w:pPr>
      <w:r>
        <w:t xml:space="preserve">Handle consent requirements when new permissions are added to IntuneAssistant</w:t>
      </w:r>
    </w:p>
    <w:p>
      <w:pPr>
        <w:pStyle w:val="BodyText"/>
      </w:pPr>
      <w:hyperlink r:id="rId30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5IDE4IDYtNi02LTYiIC8+PC9zdmc+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Data &amp; Privacy</w:t>
      </w:r>
    </w:p>
    <w:p>
      <w:pPr>
        <w:pStyle w:val="BodyText"/>
      </w:pPr>
      <w:r>
        <w:t xml:space="preserve">Our commitment to data privacy and security with minimal data storage and no data leaving your tenant</w:t>
      </w:r>
    </w:p>
    <w:bookmarkStart w:id="93" w:name="nd-toc"/>
    <w:bookmarkStart w:id="92" w:name="toc-title"/>
    <w:p>
      <w:pPr>
        <w:pStyle w:val="Heading3"/>
      </w:pPr>
      <w:r>
        <w:drawing>
          <wp:inline>
            <wp:extent cx="228600" cy="2286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+PHBhdGggZD0iTTIxIDEySDMiIC8+PC9zdmc+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On this page</w:t>
      </w:r>
    </w:p>
    <w:p>
      <w:pPr>
        <w:pStyle w:val="FirstParagraph"/>
      </w:pPr>
      <w:hyperlink w:anchor="user-access-control--pim-integration">
        <w:r>
          <w:rPr>
            <w:rStyle w:val="Hyperlink"/>
          </w:rPr>
          <w:t xml:space="preserve">User Access Control &amp; PIM Integration</w:t>
        </w:r>
      </w:hyperlink>
      <w:hyperlink w:anchor="access-control-overview">
        <w:r>
          <w:rPr>
            <w:rStyle w:val="Hyperlink"/>
          </w:rPr>
          <w:t xml:space="preserve">Access Control Overview</w:t>
        </w:r>
      </w:hyperlink>
      <w:hyperlink w:anchor="default-behavior">
        <w:r>
          <w:rPr>
            <w:rStyle w:val="Hyperlink"/>
          </w:rPr>
          <w:t xml:space="preserve">Default Behavior</w:t>
        </w:r>
      </w:hyperlink>
      <w:hyperlink w:anchor="security-principles">
        <w:r>
          <w:rPr>
            <w:rStyle w:val="Hyperlink"/>
          </w:rPr>
          <w:t xml:space="preserve">Security Principles</w:t>
        </w:r>
      </w:hyperlink>
      <w:hyperlink w:anchor="user-assignment-methods">
        <w:r>
          <w:rPr>
            <w:rStyle w:val="Hyperlink"/>
          </w:rPr>
          <w:t xml:space="preserve">User Assignment Methods</w:t>
        </w:r>
      </w:hyperlink>
      <w:hyperlink w:anchor="method-1-direct-user-assignment">
        <w:r>
          <w:rPr>
            <w:rStyle w:val="Hyperlink"/>
          </w:rPr>
          <w:t xml:space="preserve">Method 1: Direct User Assignment</w:t>
        </w:r>
      </w:hyperlink>
    </w:p>
    <w:bookmarkEnd w:id="92"/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svg" /><Relationship Type="http://schemas.openxmlformats.org/officeDocument/2006/relationships/image" Id="rId46" Target="media/rId46.svg" /><Relationship Type="http://schemas.openxmlformats.org/officeDocument/2006/relationships/image" Id="rId61" Target="media/rId61.svg" /><Relationship Type="http://schemas.openxmlformats.org/officeDocument/2006/relationships/image" Id="rId86" Target="media/rId86.svg" /><Relationship Type="http://schemas.openxmlformats.org/officeDocument/2006/relationships/image" Id="rId83" Target="media/rId83.svg" /><Relationship Type="http://schemas.openxmlformats.org/officeDocument/2006/relationships/image" Id="rId56" Target="media/rId56.svg" /><Relationship Type="http://schemas.openxmlformats.org/officeDocument/2006/relationships/image" Id="rId19" Target="media/rId19.svg" /><Relationship Type="http://schemas.openxmlformats.org/officeDocument/2006/relationships/image" Id="rId89" Target="media/rId89.svg" /><Relationship Type="http://schemas.openxmlformats.org/officeDocument/2006/relationships/image" Id="rId22" Target="media/rId22.svg" /><Relationship Type="http://schemas.openxmlformats.org/officeDocument/2006/relationships/image" Id="rId26" Target="media/rId26.svg" /><Relationship Type="http://schemas.openxmlformats.org/officeDocument/2006/relationships/image" Id="rId10" Target="media/rId10.svg" /><Relationship Type="http://schemas.openxmlformats.org/officeDocument/2006/relationships/image" Id="rId13" Target="media/rId13.svg" /><Relationship Type="http://schemas.openxmlformats.org/officeDocument/2006/relationships/image" Id="rId53" Target="media/rId53.svg" /><Relationship Type="http://schemas.openxmlformats.org/officeDocument/2006/relationships/hyperlink" Id="rId9" Target="/" TargetMode="External" /><Relationship Type="http://schemas.openxmlformats.org/officeDocument/2006/relationships/hyperlink" Id="rId30" Target="/docs/administration/data-and-privacy/" TargetMode="External" /><Relationship Type="http://schemas.openxmlformats.org/officeDocument/2006/relationships/hyperlink" Id="rId29" Target="/docs/administration/user-access-control/" TargetMode="External" /><Relationship Type="http://schemas.openxmlformats.org/officeDocument/2006/relationships/hyperlink" Id="rId41" Target="/docs/faq/" TargetMode="External" /><Relationship Type="http://schemas.openxmlformats.org/officeDocument/2006/relationships/hyperlink" Id="rId82" Target="/docs/getting-started/consent-management/" TargetMode="External" /><Relationship Type="http://schemas.openxmlformats.org/officeDocument/2006/relationships/hyperlink" Id="rId42" Target="/docs/support/" TargetMode="External" /><Relationship Type="http://schemas.openxmlformats.org/officeDocument/2006/relationships/hyperlink" Id="rId78" Target="https://entra.microsoft.com" TargetMode="External" /><Relationship Type="http://schemas.openxmlformats.org/officeDocument/2006/relationships/hyperlink" Id="rId77" Target="https://portal.azur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" TargetMode="External" /><Relationship Type="http://schemas.openxmlformats.org/officeDocument/2006/relationships/hyperlink" Id="rId30" Target="/docs/administration/data-and-privacy/" TargetMode="External" /><Relationship Type="http://schemas.openxmlformats.org/officeDocument/2006/relationships/hyperlink" Id="rId29" Target="/docs/administration/user-access-control/" TargetMode="External" /><Relationship Type="http://schemas.openxmlformats.org/officeDocument/2006/relationships/hyperlink" Id="rId41" Target="/docs/faq/" TargetMode="External" /><Relationship Type="http://schemas.openxmlformats.org/officeDocument/2006/relationships/hyperlink" Id="rId82" Target="/docs/getting-started/consent-management/" TargetMode="External" /><Relationship Type="http://schemas.openxmlformats.org/officeDocument/2006/relationships/hyperlink" Id="rId42" Target="/docs/support/" TargetMode="External" /><Relationship Type="http://schemas.openxmlformats.org/officeDocument/2006/relationships/hyperlink" Id="rId78" Target="https://entra.microsoft.com" TargetMode="External" /><Relationship Type="http://schemas.openxmlformats.org/officeDocument/2006/relationships/hyperlink" Id="rId77" Target="https://portal.azur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Access Control &amp;amp; PIM Integration</dc:title>
  <dc:creator/>
  <cp:keywords/>
  <dcterms:created xsi:type="dcterms:W3CDTF">2026-01-08T11:56:47Z</dcterms:created>
  <dcterms:modified xsi:type="dcterms:W3CDTF">2026-01-08T11:56:47Z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