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svg" ContentType="image/svg+xml"/>
  <Override PartName="/word/media/rId53.svg" ContentType="image/svg+xml"/>
  <Override PartName="/word/media/rId71.svg" ContentType="image/svg+xml"/>
  <Override PartName="/word/media/rId120.svg" ContentType="image/svg+xml"/>
  <Override PartName="/word/media/rId117.svg" ContentType="image/svg+xml"/>
  <Override PartName="/word/media/rId85.svg" ContentType="image/svg+xml"/>
  <Override PartName="/word/media/rId88.svg" ContentType="image/svg+xml"/>
  <Override PartName="/word/media/rId91.svg" ContentType="image/svg+xml"/>
  <Override PartName="/word/media/rId63.svg" ContentType="image/svg+xml"/>
  <Override PartName="/word/media/rId67.svg" ContentType="image/svg+xml"/>
  <Override PartName="/word/media/rId19.svg" ContentType="image/svg+xml"/>
  <Override PartName="/word/media/rId123.svg" ContentType="image/svg+xml"/>
  <Override PartName="/word/media/rId74.svg" ContentType="image/svg+xml"/>
  <Override PartName="/word/media/rId97.svg" ContentType="image/svg+xml"/>
  <Override PartName="/word/media/rId22.svg" ContentType="image/svg+xml"/>
  <Override PartName="/word/media/rId32.svg" ContentType="image/svg+xml"/>
  <Override PartName="/word/media/rId10.svg" ContentType="image/svg+xml"/>
  <Override PartName="/word/media/rId79.svg" ContentType="image/svg+xml"/>
  <Override PartName="/word/media/rId13.svg" ContentType="image/svg+xml"/>
  <Override PartName="/word/media/rId6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Workflow</w:t>
      </w:r>
    </w:p>
    <w:bookmarkStart w:id="129" w:name="workflow"/>
    <w:p>
      <w:pPr>
        <w:pStyle w:val="Heading1"/>
      </w:pPr>
      <w:r>
        <w:t xml:space="preserve">Workflow</w:t>
      </w:r>
    </w:p>
    <w:bookmarkStart w:id="128" w:name="nd-docs-layout"/>
    <w:bookmarkStart w:id="16" w:name="nd-subnav"/>
    <w:p>
      <w:pPr>
        <w:pStyle w:val="FirstParagraph"/>
      </w:pPr>
      <w:hyperlink r:id="rId9">
        <w:r>
          <w:rPr>
            <w:rStyle w:val="Hyperlink"/>
          </w:rPr>
          <w:t xml:space="preserve">IntuneAssistant Docs</w:t>
        </w:r>
      </w:hyperlink>
    </w:p>
    <w:p>
      <w:pPr>
        <w:pStyle w:val="BodyText"/>
      </w:pPr>
      <w:r>
        <w:drawing>
          <wp:inline>
            <wp:extent cx="228600" cy="228600"/>
            <wp:effectExtent b="0" l="0" r="0" t="0"/>
            <wp:docPr descr="" title="" id="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
    <w:p>
      <w:pPr>
        <w:pStyle w:val="BodyText"/>
      </w:pPr>
      <w:hyperlink r:id="rId9">
        <w:r>
          <w:rPr>
            <w:rStyle w:val="Hyperlink"/>
          </w:rPr>
          <w:t xml:space="preserve">IntuneAssistant Docs</w:t>
        </w:r>
      </w:hyperlink>
    </w:p>
    <w:p>
      <w:pPr>
        <w:pStyle w:val="BodyText"/>
      </w:pPr>
      <w:r>
        <w:drawing>
          <wp:inline>
            <wp:extent cx="228600" cy="228600"/>
            <wp:effectExtent b="0" l="0" r="0" t="0"/>
            <wp:docPr descr="" title="" id="1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Search</w:t>
      </w:r>
    </w:p>
    <w:p>
      <w:pPr>
        <w:pStyle w:val="BodyText"/>
      </w:pPr>
      <w:r>
        <w:t xml:space="preserve">⌘</w:t>
      </w:r>
      <w:r>
        <w:t xml:space="preserve">K</w:t>
      </w:r>
    </w:p>
    <w:p>
      <w:pPr>
        <w:pStyle w:val="BodyText"/>
      </w:pPr>
      <w:r>
        <w:t xml:space="preserve">Getting Started</w:t>
      </w:r>
      <w:r>
        <w:drawing>
          <wp:inline>
            <wp:extent cx="228600" cy="228600"/>
            <wp:effectExtent b="0" l="0" r="0" t="0"/>
            <wp:docPr descr="" title="" id="2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25" w:name="radix-_R_qd5aitqlb_"/>
    <w:bookmarkEnd w:id="25"/>
    <w:p>
      <w:pPr>
        <w:pStyle w:val="BodyText"/>
      </w:pPr>
      <w:r>
        <w:t xml:space="preserve">Administration</w:t>
      </w:r>
      <w:r>
        <w:drawing>
          <wp:inline>
            <wp:extent cx="228600" cy="228600"/>
            <wp:effectExtent b="0" l="0" r="0" t="0"/>
            <wp:docPr descr="" title="" id="2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28" w:name="radix-_R_1ad5aitqlb_"/>
    <w:bookmarkEnd w:id="28"/>
    <w:p>
      <w:pPr>
        <w:pStyle w:val="BodyText"/>
      </w:pPr>
      <w:r>
        <w:t xml:space="preserve">Intune Assistant</w:t>
      </w:r>
      <w:r>
        <w:drawing>
          <wp:inline>
            <wp:extent cx="228600" cy="228600"/>
            <wp:effectExtent b="0" l="0" r="0" t="0"/>
            <wp:docPr descr="" title="" id="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1" w:name="radix-_R_1qd5aitqlb_"/>
    <w:bookmarkEnd w:id="31"/>
    <w:p>
      <w:pPr>
        <w:pStyle w:val="BodyText"/>
      </w:pPr>
      <w:r>
        <w:t xml:space="preserve">Extensions</w:t>
      </w:r>
      <w:r>
        <w:drawing>
          <wp:inline>
            <wp:extent cx="228600" cy="228600"/>
            <wp:effectExtent b="0" l="0" r="0" t="0"/>
            <wp:docPr descr="" title="" id="3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44" w:name="radix-_R_2ad5aitqlb_"/>
    <w:p>
      <w:pPr>
        <w:pStyle w:val="BodyText"/>
      </w:pPr>
      <w:r>
        <w:t xml:space="preserve">Assignments Manager</w:t>
      </w:r>
      <w:r>
        <w:drawing>
          <wp:inline>
            <wp:extent cx="228600" cy="228600"/>
            <wp:effectExtent b="0" l="0" r="0" t="0"/>
            <wp:docPr descr="" title="" id="3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43" w:name="radix-_R_1mad5aitqlb_"/>
    <w:p>
      <w:pPr>
        <w:pStyle w:val="BodyText"/>
      </w:pPr>
      <w:hyperlink r:id="rId37">
        <w:r>
          <w:rPr>
            <w:rStyle w:val="Hyperlink"/>
          </w:rPr>
          <w:t xml:space="preserve">Overview</w:t>
        </w:r>
      </w:hyperlink>
      <w:hyperlink r:id="rId38">
        <w:r>
          <w:rPr>
            <w:rStyle w:val="Hyperlink"/>
          </w:rPr>
          <w:t xml:space="preserve">Needed Permissions</w:t>
        </w:r>
      </w:hyperlink>
      <w:hyperlink r:id="rId39">
        <w:r>
          <w:rPr>
            <w:rStyle w:val="Hyperlink"/>
          </w:rPr>
          <w:t xml:space="preserve">Create Assignment Templates</w:t>
        </w:r>
      </w:hyperlink>
      <w:hyperlink r:id="rId40">
        <w:r>
          <w:rPr>
            <w:rStyle w:val="Hyperlink"/>
          </w:rPr>
          <w:t xml:space="preserve">Workflow</w:t>
        </w:r>
      </w:hyperlink>
      <w:hyperlink r:id="rId41">
        <w:r>
          <w:rPr>
            <w:rStyle w:val="Hyperlink"/>
          </w:rPr>
          <w:t xml:space="preserve">Scenarios</w:t>
        </w:r>
      </w:hyperlink>
      <w:hyperlink r:id="rId42">
        <w:r>
          <w:rPr>
            <w:rStyle w:val="Hyperlink"/>
          </w:rPr>
          <w:t xml:space="preserve">Backup &amp; Restore</w:t>
        </w:r>
      </w:hyperlink>
    </w:p>
    <w:bookmarkEnd w:id="43"/>
    <w:bookmarkEnd w:id="44"/>
    <w:p>
      <w:pPr>
        <w:pStyle w:val="BodyText"/>
      </w:pPr>
      <w:r>
        <w:t xml:space="preserve">Muti-Tenant Management (MSP)</w:t>
      </w:r>
      <w:r>
        <w:drawing>
          <wp:inline>
            <wp:extent cx="228600" cy="228600"/>
            <wp:effectExtent b="0" l="0" r="0" t="0"/>
            <wp:docPr descr="" title="" id="4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47" w:name="radix-_R_2qd5aitqlb_"/>
    <w:bookmarkEnd w:id="47"/>
    <w:p>
      <w:pPr>
        <w:pStyle w:val="BodyText"/>
      </w:pPr>
      <w:hyperlink r:id="rId48">
        <w:r>
          <w:rPr>
            <w:rStyle w:val="Hyperlink"/>
          </w:rPr>
          <w:t xml:space="preserve">Frequently Asked Questions</w:t>
        </w:r>
      </w:hyperlink>
      <w:hyperlink r:id="rId49">
        <w:r>
          <w:rPr>
            <w:rStyle w:val="Hyperlink"/>
          </w:rPr>
          <w:t xml:space="preserve">Support</w:t>
        </w:r>
      </w:hyperlink>
    </w:p>
    <w:p>
      <w:pPr>
        <w:pStyle w:val="BodyText"/>
      </w:pPr>
      <w:r>
        <w:drawing>
          <wp:inline>
            <wp:extent cx="228600" cy="228600"/>
            <wp:effectExtent b="0" l="0" r="0" t="0"/>
            <wp:docPr descr="" title="" id="51" name="Picture"/>
            <a:graphic>
              <a:graphicData uri="http://schemas.openxmlformats.org/drawingml/2006/picture">
                <pic:pic>
                  <pic:nvPicPr>
                    <pic:cNvPr descr="data:image/svg+xml;base64,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PHBhdGggZD0iTTEyIDIwdjIiIC8+PHBhdGggZD0ibTQuOTMgNC45MyAxLjQxIDEuNDEiIC8+PHBhdGggZD0ibTE3LjY2IDE3LjY2IDEuNDEgMS40MSIgLz48cGF0aCBkPSJNMiAxMmgyIiAvPjxwYXRoIGQ9Ik0yMCAxMmgyIiAvPjxwYXRoIGQ9Im02LjM0IDE3LjY2LTEuNDEgMS40MSIgLz48cGF0aCBkPSJtMTkuMDcgNC45My0xLjQxIDEuNDEiIC8+PC9zdmc+"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228600" cy="228600"/>
                    </a:xfrm>
                    <a:prstGeom prst="rect">
                      <a:avLst/>
                    </a:prstGeom>
                    <a:noFill/>
                    <a:ln w="9525">
                      <a:noFill/>
                      <a:headEnd/>
                      <a:tailEnd/>
                    </a:ln>
                  </pic:spPr>
                </pic:pic>
              </a:graphicData>
            </a:graphic>
          </wp:inline>
        </w:drawing>
      </w:r>
      <w:r>
        <w:drawing>
          <wp:inline>
            <wp:extent cx="228600" cy="228600"/>
            <wp:effectExtent b="0" l="0" r="0" t="0"/>
            <wp:docPr descr="" title="" id="54" name="Picture"/>
            <a:graphic>
              <a:graphicData uri="http://schemas.openxmlformats.org/drawingml/2006/picture">
                <pic:pic>
                  <pic:nvPicPr>
                    <pic:cNvPr descr="data:image/svg+xml;base64,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PC9zdmc+"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5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5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3810000" cy="2540000"/>
            <wp:effectExtent b="0" l="0" r="0" t="0"/>
            <wp:docPr descr="" title="" id="61" name="Picture"/>
            <a:graphic>
              <a:graphicData uri="http://schemas.openxmlformats.org/drawingml/2006/picture">
                <pic:pic>
                  <pic:nvPicPr>
                    <pic:cNvPr descr="data:image/svg+xml;base64,PHN2ZyByb2xlPSJwcm9ncmVzc2JhciIgdmlld2JveD0iMCAwIDI0IDI0IiBhcmlhLXZhbHVlbm93PSIwIiBhcmlhLXZhbHVlbWluPSIwIiBhcmlhLXZhbHVlbWF4PSIxIiBjbGFzcz0ic2hyaW5rLTAiPjxjaXJjbGUgY3g9IjEyIiBjeT0iMTIiIHI9IjExIiBmaWxsPSJub25lIiBzdHJva2Utd2lkdGg9IjIiIGNsYXNzPSJzdHJva2UtY3VycmVudC8yNSI+PC9jaXJjbGU+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Workflow</w:t>
      </w:r>
      <w:r>
        <w:drawing>
          <wp:inline>
            <wp:extent cx="228600" cy="228600"/>
            <wp:effectExtent b="0" l="0" r="0" t="0"/>
            <wp:docPr descr="" title="" id="6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66" w:name="radix-_R_pbn5riitqlb_"/>
    <w:bookmarkEnd w:id="66"/>
    <w:p>
      <w:pPr>
        <w:pStyle w:val="BodyText"/>
      </w:pPr>
      <w:r>
        <w:t xml:space="preserve">Extensions</w:t>
      </w:r>
      <w:r>
        <w:drawing>
          <wp:inline>
            <wp:extent cx="228600" cy="228600"/>
            <wp:effectExtent b="0" l="0" r="0" t="0"/>
            <wp:docPr descr="" title="" id="6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MuNSBzaHJpbmstMCI+PHBhdGggZD0ibTkgMTggNi02LTYtNiIgLz48L3N2Zz4="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Assignments Manager</w:t>
      </w:r>
    </w:p>
    <w:bookmarkStart w:id="70" w:name="workflow-1"/>
    <w:p>
      <w:pPr>
        <w:pStyle w:val="Heading1"/>
      </w:pPr>
      <w:r>
        <w:t xml:space="preserve">Workflow</w:t>
      </w:r>
    </w:p>
    <w:p>
      <w:pPr>
        <w:pStyle w:val="FirstParagraph"/>
      </w:pPr>
      <w:r>
        <w:t xml:space="preserve">Upload → Compare → Select → Validate. A safe workflow for bulk Intune policy assignment changes.</w:t>
      </w:r>
    </w:p>
    <w:bookmarkEnd w:id="70"/>
    <w:bookmarkStart w:id="116" w:name="how-it-works"/>
    <w:p>
      <w:pPr>
        <w:pStyle w:val="Heading1"/>
      </w:pPr>
      <w:hyperlink w:anchor="how-it-works">
        <w:r>
          <w:rPr>
            <w:rStyle w:val="Hyperlink"/>
          </w:rPr>
          <w:t xml:space="preserve">How it works</w:t>
        </w:r>
      </w:hyperlink>
      <w:r>
        <w:drawing>
          <wp:inline>
            <wp:extent cx="228600" cy="228600"/>
            <wp:effectExtent b="0" l="0" r="0" t="0"/>
            <wp:docPr descr="" title="" id="7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Assignment Manager is built around a</w:t>
      </w:r>
      <w:r>
        <w:t xml:space="preserve"> </w:t>
      </w:r>
      <w:r>
        <w:rPr>
          <w:b/>
          <w:bCs/>
        </w:rPr>
        <w:t xml:space="preserve">safety-first workflow</w:t>
      </w:r>
      <w:r>
        <w:t xml:space="preserve">. You always see what will change</w:t>
      </w:r>
      <w:r>
        <w:t xml:space="preserve"> </w:t>
      </w:r>
      <w:r>
        <w:rPr>
          <w:i/>
          <w:iCs/>
        </w:rPr>
        <w:t xml:space="preserve">before</w:t>
      </w:r>
      <w:r>
        <w:t xml:space="preserve"> </w:t>
      </w:r>
      <w:r>
        <w:t xml:space="preserve">you execute anything—and you always validate after.</w:t>
      </w:r>
    </w:p>
    <w:p>
      <w:pPr>
        <w:pStyle w:val="BodyText"/>
      </w:pPr>
      <w:r>
        <w:drawing>
          <wp:inline>
            <wp:extent cx="228600" cy="228600"/>
            <wp:effectExtent b="0" l="0" r="0" t="0"/>
            <wp:docPr descr="" title="" id="7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GNpcmNsZSBjeD0iMTIiIGN5PSIxMiIgcj0iMTAiPjwvY2lyY2xlPjxwYXRoIGQ9Ik0xMiAxNnYtNCIgLz48cGF0aCBkPSJNMTIgOGguMDEiIC8+PC9zdmc+"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Four-step workflow</w:t>
      </w:r>
    </w:p>
    <w:p>
      <w:pPr>
        <w:pStyle w:val="BodyText"/>
      </w:pPr>
      <w:r>
        <w:t xml:space="preserve">Upload your desired state in CSV, compare it with the live tenant, choose what to apply, then validate and export results.</w:t>
      </w:r>
    </w:p>
    <w:p>
      <w:r>
        <w:pict>
          <v:rect style="width:0;height:1.5pt" o:hralign="center" o:hrstd="t" o:hr="t"/>
        </w:pict>
      </w:r>
    </w:p>
    <w:bookmarkStart w:id="82" w:name="X044639d85be3b0ef8019fce8af8f89b12ec7b25"/>
    <w:p>
      <w:pPr>
        <w:pStyle w:val="Heading2"/>
      </w:pPr>
      <w:hyperlink w:anchor="X044639d85be3b0ef8019fce8af8f89b12ec7b25">
        <w:r>
          <w:rPr>
            <w:rStyle w:val="Hyperlink"/>
          </w:rPr>
          <w:t xml:space="preserve">1) Upload CSV</w:t>
        </w:r>
      </w:hyperlink>
      <w:r>
        <w:drawing>
          <wp:inline>
            <wp:extent cx="228600" cy="228600"/>
            <wp:effectExtent b="0" l="0" r="0" t="0"/>
            <wp:docPr descr="" title="" id="7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Provide a CSV describing the assignment changes.</w:t>
      </w:r>
    </w:p>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28600" cy="228600"/>
                  <wp:effectExtent b="0" l="0" r="0" t="0"/>
                  <wp:docPr descr="" title="" id="8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PC9zdmc+"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228600" cy="228600"/>
                          </a:xfrm>
                          <a:prstGeom prst="rect">
                            <a:avLst/>
                          </a:prstGeom>
                          <a:noFill/>
                          <a:ln w="9525">
                            <a:noFill/>
                            <a:headEnd/>
                            <a:tailEnd/>
                          </a:ln>
                        </pic:spPr>
                      </pic:pic>
                    </a:graphicData>
                  </a:graphic>
                </wp:inline>
              </w:drawing>
            </w:r>
          </w:p>
        </w:tc>
        <w:tc>
          <w:tcPr/>
          <w:p>
            <w:pPr>
              <w:pStyle w:val="SourceCode"/>
              <w:jc w:val="center"/>
            </w:pPr>
            <w:r>
              <w:rPr>
                <w:rStyle w:val="VerbatimChar"/>
              </w:rPr>
              <w:t xml:space="preserve">PolicyName;GroupName;AssignmentDirection;AssignmentAction;Filter;Filter Type</w:t>
            </w:r>
            <w:r>
              <w:br/>
            </w:r>
            <w:r>
              <w:rPr>
                <w:rStyle w:val="VerbatimChar"/>
              </w:rPr>
              <w:t xml:space="preserve">Windows Security Baseline;Finance Department;Include;Add;;</w:t>
            </w:r>
            <w:r>
              <w:br/>
            </w:r>
            <w:r>
              <w:rPr>
                <w:rStyle w:val="VerbatimChar"/>
              </w:rPr>
              <w:t xml:space="preserve">iOS Compliance Policy;All Users;Include;Replace;Corporate Devices;Include</w:t>
            </w:r>
            <w:r>
              <w:br/>
            </w:r>
            <w:r>
              <w:rPr>
                <w:rStyle w:val="VerbatimChar"/>
              </w:rPr>
              <w:t xml:space="preserve">Android App Protection;Sales Team;Include;Remove;;</w:t>
            </w:r>
          </w:p>
        </w:tc>
      </w:tr>
    </w:tbl>
    <w:p>
      <w:pPr>
        <w:pStyle w:val="FirstParagraph"/>
      </w:pPr>
      <w:r>
        <w:t xml:space="preserve">During upload, the tool validates:</w:t>
      </w:r>
    </w:p>
    <w:p>
      <w:pPr>
        <w:pStyle w:val="Compact"/>
        <w:numPr>
          <w:ilvl w:val="0"/>
          <w:numId w:val="1001"/>
        </w:numPr>
      </w:pPr>
      <w:r>
        <w:t xml:space="preserve">Required columns &amp; data types</w:t>
      </w:r>
    </w:p>
    <w:p>
      <w:pPr>
        <w:pStyle w:val="Compact"/>
        <w:numPr>
          <w:ilvl w:val="0"/>
          <w:numId w:val="1001"/>
        </w:numPr>
      </w:pPr>
      <w:r>
        <w:t xml:space="preserve">Obvious conflicts (duplicate rows, invalid actions, etc.)</w:t>
      </w:r>
    </w:p>
    <w:p>
      <w:pPr>
        <w:pStyle w:val="FirstParagraph"/>
      </w:pPr>
      <w:r>
        <w:t xml:space="preserve">If the upload check finds issues, you get immediate feedback to fix them. Only the valid rows are processed in the next step.</w:t>
      </w:r>
      <w:r>
        <w:t xml:space="preserve"> </w:t>
      </w:r>
      <w:r>
        <w:t xml:space="preserve">To fix the errors, update your CSV and re-upload.</w:t>
      </w:r>
    </w:p>
    <w:p>
      <w:pPr>
        <w:pStyle w:val="BodyText"/>
      </w:pPr>
      <w:r>
        <w:t xml:space="preserve">Upload csv results</w:t>
      </w:r>
    </w:p>
    <w:bookmarkEnd w:id="82"/>
    <w:bookmarkStart w:id="94" w:name="X140f9c0ae0a9d8594c7838ed72ff02392f38eab"/>
    <w:p>
      <w:pPr>
        <w:pStyle w:val="Heading2"/>
      </w:pPr>
      <w:hyperlink w:anchor="X140f9c0ae0a9d8594c7838ed72ff02392f38eab">
        <w:r>
          <w:rPr>
            <w:rStyle w:val="Hyperlink"/>
          </w:rPr>
          <w:t xml:space="preserve">2) Compare (Current vs Planned)</w:t>
        </w:r>
      </w:hyperlink>
      <w:r>
        <w:drawing>
          <wp:inline>
            <wp:extent cx="228600" cy="228600"/>
            <wp:effectExtent b="0" l="0" r="0" t="0"/>
            <wp:docPr descr="" title="" id="8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Each row is evaluated against the live tenant state, so you get a precise preview.</w:t>
      </w:r>
    </w:p>
    <w:p>
      <w:pPr>
        <w:pStyle w:val="BodyText"/>
      </w:pPr>
      <w:r>
        <w:rPr>
          <w:b/>
          <w:bCs/>
        </w:rPr>
        <w:t xml:space="preserve">Status compare indicators:</w:t>
      </w:r>
    </w:p>
    <w:p>
      <w:pPr>
        <w:numPr>
          <w:ilvl w:val="0"/>
          <w:numId w:val="1002"/>
        </w:numPr>
      </w:pPr>
      <w:r>
        <w:drawing>
          <wp:inline>
            <wp:extent cx="228600" cy="228600"/>
            <wp:effectExtent b="0" l="0" r="0" t="0"/>
            <wp:docPr descr="" title="" id="8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pcmNsZS1jaGVjayBoLTUgdy01IHRleHQtZ3JlZW4tNTAwIGlubGluZSIgYXJpYS1oaWRkZW49InRydWUiPjxjaXJjbGUgY3g9IjEyIiBjeT0iMTIiIHI9IjEwIj48L2NpcmNsZT48cGF0aCBkPSJtOSAxMiAyIDIgNC00IiAvPjwvc3ZnP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 </w:t>
      </w:r>
      <w:r>
        <w:rPr>
          <w:b/>
          <w:bCs/>
        </w:rPr>
        <w:t xml:space="preserve">Ready for migration</w:t>
      </w:r>
      <w:r>
        <w:t xml:space="preserve"> </w:t>
      </w:r>
      <w:r>
        <w:t xml:space="preserve">– Row is ready to implement changes</w:t>
      </w:r>
    </w:p>
    <w:p>
      <w:pPr>
        <w:numPr>
          <w:ilvl w:val="0"/>
          <w:numId w:val="1002"/>
        </w:numPr>
      </w:pPr>
      <w:r>
        <w:drawing>
          <wp:inline>
            <wp:extent cx="228600" cy="228600"/>
            <wp:effectExtent b="0" l="0" r="0" t="0"/>
            <wp:docPr descr="" title="" id="8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WNpcmNsZSBoLTUgdy01IHRleHQtYmx1ZS01MDAgaW5saW5lIiBhcmlhLWhpZGRlbj0idHJ1ZSI+PGNpcmNsZSBjeD0iMTIiIGN5PSIxMiIgcj0iMTAiPjwvY2lyY2xlPjwvc3ZnP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 </w:t>
      </w:r>
      <w:r>
        <w:rPr>
          <w:b/>
          <w:bCs/>
        </w:rPr>
        <w:t xml:space="preserve">Already migrated</w:t>
      </w:r>
      <w:r>
        <w:t xml:space="preserve"> </w:t>
      </w:r>
      <w:r>
        <w:t xml:space="preserve">– Row is already in the desired state</w:t>
      </w:r>
    </w:p>
    <w:p>
      <w:pPr>
        <w:numPr>
          <w:ilvl w:val="0"/>
          <w:numId w:val="1002"/>
        </w:numPr>
      </w:pPr>
      <w:r>
        <w:drawing>
          <wp:inline>
            <wp:extent cx="228600" cy="228600"/>
            <wp:effectExtent b="0" l="0" r="0" t="0"/>
            <wp:docPr descr="" title="" id="9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sdWNpZGUgbHVjaWRlLXRyaWFuZ2xlLWFsZXJ0IGgtNSB3LTUgdGV4dC1yZWQtNTAwIGlubGluZSIgYXJpYS1oaWRkZW49InRydWUiPjxwYXRoIGQ9Im0yMS43MyAxOC04LTE0YTIgMiAwIDAgMC0zLjQ4IDBsLTggMTRBMiAyIDAgMCAwIDQgMjFoMTZhMiAyIDAgMCAwIDEuNzMtMyIgLz48cGF0aCBkPSJNMTIgOXY0IiAvPjxwYXRoIGQ9Ik0xMiAxN2guMDEiIC8+PC9zdmc+"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 </w:t>
      </w:r>
      <w:r>
        <w:rPr>
          <w:b/>
          <w:bCs/>
        </w:rPr>
        <w:t xml:space="preserve">Check errors</w:t>
      </w:r>
      <w:r>
        <w:t xml:space="preserve"> </w:t>
      </w:r>
      <w:r>
        <w:t xml:space="preserve">- Row has issues that need fixing before migration. This can due an non existing policy/group, invalid filter, or duplicate policy names.</w:t>
      </w:r>
    </w:p>
    <w:p>
      <w:pPr>
        <w:numPr>
          <w:ilvl w:val="0"/>
          <w:numId w:val="1000"/>
        </w:numPr>
      </w:pPr>
      <w:r>
        <w:t xml:space="preserve">Correct the CSV and re-upload to fix. That means, provide a group that actually exists in Azure AD, or a policy that is already created in Intune. If the group or policy doesn't exist, you can also choose to create it first. Then, after creation, upload the CSV again and start over.</w:t>
      </w:r>
    </w:p>
    <w:p>
      <w:pPr>
        <w:pStyle w:val="FirstParagraph"/>
      </w:pPr>
      <w:r>
        <w:t xml:space="preserve">Compare view example</w:t>
      </w:r>
    </w:p>
    <w:bookmarkEnd w:id="94"/>
    <w:bookmarkStart w:id="100" w:name="Xb7e9f88587c477ed7ce86a0db868b0b54f96a33"/>
    <w:p>
      <w:pPr>
        <w:pStyle w:val="Heading2"/>
      </w:pPr>
      <w:hyperlink w:anchor="Xb7e9f88587c477ed7ce86a0db868b0b54f96a33">
        <w:r>
          <w:rPr>
            <w:rStyle w:val="Hyperlink"/>
          </w:rPr>
          <w:t xml:space="preserve">3) Select changes (Selective Migration)</w:t>
        </w:r>
      </w:hyperlink>
      <w:r>
        <w:drawing>
          <wp:inline>
            <wp:extent cx="228600" cy="228600"/>
            <wp:effectExtent b="0" l="0" r="0" t="0"/>
            <wp:docPr descr="" title="" id="9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You decide exactly what is applied.</w:t>
      </w:r>
    </w:p>
    <w:p>
      <w:pPr>
        <w:pStyle w:val="Compact"/>
        <w:numPr>
          <w:ilvl w:val="0"/>
          <w:numId w:val="1003"/>
        </w:numPr>
      </w:pPr>
      <w:r>
        <w:t xml:space="preserve">Select/deselect operations</w:t>
      </w:r>
    </w:p>
    <w:p>
      <w:pPr>
        <w:pStyle w:val="Compact"/>
        <w:numPr>
          <w:ilvl w:val="0"/>
          <w:numId w:val="1003"/>
        </w:numPr>
      </w:pPr>
      <w:r>
        <w:t xml:space="preserve">Batch multiple policies in one run</w:t>
      </w:r>
    </w:p>
    <w:p>
      <w:pPr>
        <w:pStyle w:val="FirstParagraph"/>
      </w:pPr>
      <w:r>
        <w:t xml:space="preserve">Select rows for migrate</w:t>
      </w:r>
    </w:p>
    <w:p>
      <w:pPr>
        <w:pStyle w:val="BodyText"/>
      </w:pPr>
      <w:r>
        <w:drawing>
          <wp:inline>
            <wp:extent cx="228600" cy="228600"/>
            <wp:effectExtent b="0" l="0" r="0" t="0"/>
            <wp:docPr descr="" title="" id="9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HBhdGggZD0ibTIxLjczIDE4LTgtMTRhMiAyIDAgMCAwLTMuNDggMGwtOCAxNEEyIDIgMCAwIDAgNCAyMWgxNmEyIDIgMCAwIDAgMS43My0zIiAvPjxwYXRoIGQ9Ik0xMiA5djQiIC8+PHBhdGggZD0iTTEyIDE3aC4wMSIgLz48L3N2Zz4="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Recommended for safety</w:t>
      </w:r>
    </w:p>
    <w:p>
      <w:pPr>
        <w:pStyle w:val="BodyText"/>
      </w:pPr>
      <w:r>
        <w:t xml:space="preserve">Start with a small pilot CSV, then scale up.</w:t>
      </w:r>
    </w:p>
    <w:bookmarkEnd w:id="100"/>
    <w:bookmarkStart w:id="103" w:name="X7ab6f8c45050c20de4c100eb24af1ac134a1d6b"/>
    <w:p>
      <w:pPr>
        <w:pStyle w:val="Heading2"/>
      </w:pPr>
      <w:hyperlink w:anchor="X7ab6f8c45050c20de4c100eb24af1ac134a1d6b">
        <w:r>
          <w:rPr>
            <w:rStyle w:val="Hyperlink"/>
          </w:rPr>
          <w:t xml:space="preserve">4) Migrate + Validate</w:t>
        </w:r>
      </w:hyperlink>
      <w:r>
        <w:drawing>
          <wp:inline>
            <wp:extent cx="228600" cy="228600"/>
            <wp:effectExtent b="0" l="0" r="0" t="0"/>
            <wp:docPr descr="" title="" id="10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Did you reach the desired state?</w:t>
      </w:r>
    </w:p>
    <w:p>
      <w:pPr>
        <w:pStyle w:val="BodyText"/>
      </w:pPr>
      <w:r>
        <w:t xml:space="preserve">After migration, Assignment Manager validates the final state:</w:t>
      </w:r>
    </w:p>
    <w:p>
      <w:pPr>
        <w:pStyle w:val="Compact"/>
        <w:numPr>
          <w:ilvl w:val="0"/>
          <w:numId w:val="1004"/>
        </w:numPr>
      </w:pPr>
      <w:r>
        <w:t xml:space="preserve">Assignments exist as expected</w:t>
      </w:r>
    </w:p>
    <w:p>
      <w:pPr>
        <w:pStyle w:val="Compact"/>
        <w:numPr>
          <w:ilvl w:val="0"/>
          <w:numId w:val="1004"/>
        </w:numPr>
      </w:pPr>
      <w:r>
        <w:t xml:space="preserve">Filters are applied correctly</w:t>
      </w:r>
    </w:p>
    <w:p>
      <w:pPr>
        <w:pStyle w:val="Compact"/>
        <w:numPr>
          <w:ilvl w:val="0"/>
          <w:numId w:val="1004"/>
        </w:numPr>
      </w:pPr>
      <w:r>
        <w:t xml:space="preserve">Conflicts are detected and surfaced</w:t>
      </w:r>
    </w:p>
    <w:p>
      <w:pPr>
        <w:pStyle w:val="Compact"/>
        <w:numPr>
          <w:ilvl w:val="0"/>
          <w:numId w:val="1004"/>
        </w:numPr>
      </w:pPr>
      <w:r>
        <w:t xml:space="preserve">Results are summarized and exportable</w:t>
      </w:r>
    </w:p>
    <w:p>
      <w:pPr>
        <w:pStyle w:val="FirstParagraph"/>
      </w:pPr>
      <w:r>
        <w:t xml:space="preserve">Results view example</w:t>
      </w:r>
    </w:p>
    <w:bookmarkEnd w:id="103"/>
    <w:p>
      <w:r>
        <w:pict>
          <v:rect style="width:0;height:1.5pt" o:hralign="center" o:hrstd="t" o:hr="t"/>
        </w:pict>
      </w:r>
    </w:p>
    <w:bookmarkStart w:id="115" w:name="best-practice-patterns"/>
    <w:p>
      <w:pPr>
        <w:pStyle w:val="Heading2"/>
      </w:pPr>
      <w:hyperlink w:anchor="best-practice-patterns">
        <w:r>
          <w:rPr>
            <w:rStyle w:val="Hyperlink"/>
          </w:rPr>
          <w:t xml:space="preserve">Best-practice patterns</w:t>
        </w:r>
      </w:hyperlink>
      <w:r>
        <w:drawing>
          <wp:inline>
            <wp:extent cx="228600" cy="228600"/>
            <wp:effectExtent b="0" l="0" r="0" t="0"/>
            <wp:docPr descr="" title="" id="10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108" w:name="use-replace-for-clean-migrations"/>
    <w:p>
      <w:pPr>
        <w:pStyle w:val="Heading3"/>
      </w:pPr>
      <w:hyperlink w:anchor="use-replace-for-clean-migrations">
        <w:r>
          <w:rPr>
            <w:rStyle w:val="Hyperlink"/>
          </w:rPr>
          <w:t xml:space="preserve">Use Replace for clean migrations</w:t>
        </w:r>
      </w:hyperlink>
      <w:r>
        <w:drawing>
          <wp:inline>
            <wp:extent cx="228600" cy="228600"/>
            <wp:effectExtent b="0" l="0" r="0" t="0"/>
            <wp:docPr descr="" title="" id="10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When moving from one target strategy to another,</w:t>
      </w:r>
      <w:r>
        <w:t xml:space="preserve"> </w:t>
      </w:r>
      <w:r>
        <w:rPr>
          <w:b/>
          <w:bCs/>
        </w:rPr>
        <w:t xml:space="preserve">Replace</w:t>
      </w:r>
      <w:r>
        <w:t xml:space="preserve"> </w:t>
      </w:r>
      <w:r>
        <w:t xml:space="preserve">avoids leftover assignments.</w:t>
      </w:r>
    </w:p>
    <w:bookmarkEnd w:id="108"/>
    <w:bookmarkStart w:id="111" w:name="keep-csvs-in-version-control"/>
    <w:p>
      <w:pPr>
        <w:pStyle w:val="Heading3"/>
      </w:pPr>
      <w:hyperlink w:anchor="keep-csvs-in-version-control">
        <w:r>
          <w:rPr>
            <w:rStyle w:val="Hyperlink"/>
          </w:rPr>
          <w:t xml:space="preserve">Keep CSVs in version control</w:t>
        </w:r>
      </w:hyperlink>
      <w:r>
        <w:drawing>
          <wp:inline>
            <wp:extent cx="228600" cy="228600"/>
            <wp:effectExtent b="0" l="0" r="0" t="0"/>
            <wp:docPr descr="" title="" id="10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Treat migrations as change-controlled artifacts.</w:t>
      </w:r>
    </w:p>
    <w:bookmarkEnd w:id="111"/>
    <w:bookmarkStart w:id="114" w:name="use-filters-for-exclusions-when-possible"/>
    <w:p>
      <w:pPr>
        <w:pStyle w:val="Heading3"/>
      </w:pPr>
      <w:hyperlink w:anchor="use-filters-for-exclusions-when-possible">
        <w:r>
          <w:rPr>
            <w:rStyle w:val="Hyperlink"/>
          </w:rPr>
          <w:t xml:space="preserve">Use filters for exclusions (when possible)</w:t>
        </w:r>
      </w:hyperlink>
      <w:r>
        <w:drawing>
          <wp:inline>
            <wp:extent cx="228600" cy="228600"/>
            <wp:effectExtent b="0" l="0" r="0" t="0"/>
            <wp:docPr descr="" title="" id="11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Excluding via filters is usually cleaner than managing parallel exclusion groups.</w:t>
      </w:r>
    </w:p>
    <w:p>
      <w:r>
        <w:pict>
          <v:rect style="width:0;height:1.5pt" o:hralign="center" o:hrstd="t" o:hr="t"/>
        </w:pict>
      </w:r>
    </w:p>
    <w:bookmarkEnd w:id="114"/>
    <w:bookmarkEnd w:id="115"/>
    <w:bookmarkEnd w:id="116"/>
    <w:p>
      <w:pPr>
        <w:pStyle w:val="FirstParagraph"/>
      </w:pPr>
      <w:hyperlink r:id="rId39"/>
    </w:p>
    <w:p>
      <w:pPr>
        <w:pStyle w:val="BodyText"/>
      </w:pPr>
      <w:r>
        <w:drawing>
          <wp:inline>
            <wp:extent cx="228600" cy="228600"/>
            <wp:effectExtent b="0" l="0" r="0" t="0"/>
            <wp:docPr descr="" title="" id="11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Create Assignment Templates</w:t>
      </w:r>
    </w:p>
    <w:p>
      <w:pPr>
        <w:pStyle w:val="BodyText"/>
      </w:pPr>
      <w:r>
        <w:t xml:space="preserve">Learn how to create CSV templates for bulk assignment management - manually or by exporting from your reference tenant.</w:t>
      </w:r>
    </w:p>
    <w:p>
      <w:pPr>
        <w:pStyle w:val="BodyText"/>
      </w:pPr>
      <w:hyperlink r:id="rId41"/>
    </w:p>
    <w:p>
      <w:pPr>
        <w:pStyle w:val="BodyText"/>
      </w:pPr>
      <w:r>
        <w:drawing>
          <wp:inline>
            <wp:extent cx="228600" cy="228600"/>
            <wp:effectExtent b="0" l="0" r="0" t="0"/>
            <wp:docPr descr="" title="" id="12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PC9zdmc+"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Scenarios</w:t>
      </w:r>
    </w:p>
    <w:p>
      <w:pPr>
        <w:pStyle w:val="BodyText"/>
      </w:pPr>
      <w:r>
        <w:t xml:space="preserve">Bulk manage Microsoft Intune policy assignments using CSV files (add, remove, replace) across tenants.</w:t>
      </w:r>
    </w:p>
    <w:bookmarkStart w:id="127" w:name="nd-toc"/>
    <w:bookmarkStart w:id="126" w:name="toc-title"/>
    <w:p>
      <w:pPr>
        <w:pStyle w:val="Heading3"/>
      </w:pPr>
      <w:r>
        <w:drawing>
          <wp:inline>
            <wp:extent cx="228600" cy="228600"/>
            <wp:effectExtent b="0" l="0" r="0" t="0"/>
            <wp:docPr descr="" title="" id="12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PHBhdGggZD0iTTIxIDEySDMiIC8+PC9zdmc+"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On this page</w:t>
      </w:r>
    </w:p>
    <w:p>
      <w:pPr>
        <w:pStyle w:val="FirstParagraph"/>
      </w:pPr>
      <w:hyperlink w:anchor="how-it-works">
        <w:r>
          <w:rPr>
            <w:rStyle w:val="Hyperlink"/>
          </w:rPr>
          <w:t xml:space="preserve">How it works</w:t>
        </w:r>
      </w:hyperlink>
      <w:hyperlink w:anchor="X044639d85be3b0ef8019fce8af8f89b12ec7b25">
        <w:r>
          <w:rPr>
            <w:rStyle w:val="Hyperlink"/>
          </w:rPr>
          <w:t xml:space="preserve">1) Upload CSV</w:t>
        </w:r>
      </w:hyperlink>
      <w:hyperlink w:anchor="X140f9c0ae0a9d8594c7838ed72ff02392f38eab">
        <w:r>
          <w:rPr>
            <w:rStyle w:val="Hyperlink"/>
          </w:rPr>
          <w:t xml:space="preserve">2) Compare (Current vs Planned)</w:t>
        </w:r>
      </w:hyperlink>
      <w:hyperlink w:anchor="Xb7e9f88587c477ed7ce86a0db868b0b54f96a33">
        <w:r>
          <w:rPr>
            <w:rStyle w:val="Hyperlink"/>
          </w:rPr>
          <w:t xml:space="preserve">3) Select changes (Selective Migration)</w:t>
        </w:r>
      </w:hyperlink>
      <w:hyperlink w:anchor="X7ab6f8c45050c20de4c100eb24af1ac134a1d6b">
        <w:r>
          <w:rPr>
            <w:rStyle w:val="Hyperlink"/>
          </w:rPr>
          <w:t xml:space="preserve">4) Migrate + Validate</w:t>
        </w:r>
      </w:hyperlink>
      <w:hyperlink w:anchor="best-practice-patterns">
        <w:r>
          <w:rPr>
            <w:rStyle w:val="Hyperlink"/>
          </w:rPr>
          <w:t xml:space="preserve">Best-practice patterns</w:t>
        </w:r>
      </w:hyperlink>
      <w:hyperlink w:anchor="use-replace-for-clean-migrations">
        <w:r>
          <w:rPr>
            <w:rStyle w:val="Hyperlink"/>
          </w:rPr>
          <w:t xml:space="preserve">Use Replace for clean migrations</w:t>
        </w:r>
      </w:hyperlink>
      <w:hyperlink w:anchor="keep-csvs-in-version-control">
        <w:r>
          <w:rPr>
            <w:rStyle w:val="Hyperlink"/>
          </w:rPr>
          <w:t xml:space="preserve">Keep CSVs in version control</w:t>
        </w:r>
      </w:hyperlink>
      <w:hyperlink w:anchor="use-filters-for-exclusions-when-possible">
        <w:r>
          <w:rPr>
            <w:rStyle w:val="Hyperlink"/>
          </w:rPr>
          <w:t xml:space="preserve">Use filters for exclusions (when possible)</w:t>
        </w:r>
      </w:hyperlink>
    </w:p>
    <w:bookmarkEnd w:id="126"/>
    <w:bookmarkEnd w:id="127"/>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svg" /><Relationship Type="http://schemas.openxmlformats.org/officeDocument/2006/relationships/image" Id="rId53" Target="media/rId53.svg" /><Relationship Type="http://schemas.openxmlformats.org/officeDocument/2006/relationships/image" Id="rId71" Target="media/rId71.svg" /><Relationship Type="http://schemas.openxmlformats.org/officeDocument/2006/relationships/image" Id="rId120" Target="media/rId120.svg" /><Relationship Type="http://schemas.openxmlformats.org/officeDocument/2006/relationships/image" Id="rId117" Target="media/rId117.svg" /><Relationship Type="http://schemas.openxmlformats.org/officeDocument/2006/relationships/image" Id="rId85" Target="media/rId85.svg" /><Relationship Type="http://schemas.openxmlformats.org/officeDocument/2006/relationships/image" Id="rId88" Target="media/rId88.svg" /><Relationship Type="http://schemas.openxmlformats.org/officeDocument/2006/relationships/image" Id="rId91" Target="media/rId91.svg" /><Relationship Type="http://schemas.openxmlformats.org/officeDocument/2006/relationships/image" Id="rId63" Target="media/rId63.svg" /><Relationship Type="http://schemas.openxmlformats.org/officeDocument/2006/relationships/image" Id="rId67" Target="media/rId67.svg" /><Relationship Type="http://schemas.openxmlformats.org/officeDocument/2006/relationships/image" Id="rId19" Target="media/rId19.svg" /><Relationship Type="http://schemas.openxmlformats.org/officeDocument/2006/relationships/image" Id="rId123" Target="media/rId123.svg" /><Relationship Type="http://schemas.openxmlformats.org/officeDocument/2006/relationships/image" Id="rId74" Target="media/rId74.svg" /><Relationship Type="http://schemas.openxmlformats.org/officeDocument/2006/relationships/image" Id="rId97" Target="media/rId97.svg" /><Relationship Type="http://schemas.openxmlformats.org/officeDocument/2006/relationships/image" Id="rId22" Target="media/rId22.svg" /><Relationship Type="http://schemas.openxmlformats.org/officeDocument/2006/relationships/image" Id="rId32" Target="media/rId32.svg" /><Relationship Type="http://schemas.openxmlformats.org/officeDocument/2006/relationships/image" Id="rId10" Target="media/rId10.svg" /><Relationship Type="http://schemas.openxmlformats.org/officeDocument/2006/relationships/image" Id="rId79" Target="media/rId79.svg" /><Relationship Type="http://schemas.openxmlformats.org/officeDocument/2006/relationships/image" Id="rId13" Target="media/rId13.svg" /><Relationship Type="http://schemas.openxmlformats.org/officeDocument/2006/relationships/image" Id="rId60" Target="media/rId60.svg" /><Relationship Type="http://schemas.openxmlformats.org/officeDocument/2006/relationships/hyperlink" Id="rId9" Target="/" TargetMode="External" /><Relationship Type="http://schemas.openxmlformats.org/officeDocument/2006/relationships/hyperlink" Id="rId42" Target="/docs/extensions/assignments-manager/backup-and-restore/" TargetMode="External" /><Relationship Type="http://schemas.openxmlformats.org/officeDocument/2006/relationships/hyperlink" Id="rId39" Target="/docs/extensions/assignments-manager/create-assignments-template/" TargetMode="External" /><Relationship Type="http://schemas.openxmlformats.org/officeDocument/2006/relationships/hyperlink" Id="rId40" Target="/docs/extensions/assignments-manager/how-it-works/" TargetMode="External" /><Relationship Type="http://schemas.openxmlformats.org/officeDocument/2006/relationships/hyperlink" Id="rId37" Target="/docs/extensions/assignments-manager/overview/" TargetMode="External" /><Relationship Type="http://schemas.openxmlformats.org/officeDocument/2006/relationships/hyperlink" Id="rId38" Target="/docs/extensions/assignments-manager/permissions/" TargetMode="External" /><Relationship Type="http://schemas.openxmlformats.org/officeDocument/2006/relationships/hyperlink" Id="rId41" Target="/docs/extensions/assignments-manager/scenarios/" TargetMode="External" /><Relationship Type="http://schemas.openxmlformats.org/officeDocument/2006/relationships/hyperlink" Id="rId48" Target="/docs/faq/" TargetMode="External" /><Relationship Type="http://schemas.openxmlformats.org/officeDocument/2006/relationships/hyperlink" Id="rId49" Target="/docs/support/" TargetMode="External" /></Relationships>
</file>

<file path=word/_rels/footnotes.xml.rels><?xml version="1.0" encoding="UTF-8"?><Relationships xmlns="http://schemas.openxmlformats.org/package/2006/relationships"><Relationship Type="http://schemas.openxmlformats.org/officeDocument/2006/relationships/hyperlink" Id="rId9" Target="/" TargetMode="External" /><Relationship Type="http://schemas.openxmlformats.org/officeDocument/2006/relationships/hyperlink" Id="rId42" Target="/docs/extensions/assignments-manager/backup-and-restore/" TargetMode="External" /><Relationship Type="http://schemas.openxmlformats.org/officeDocument/2006/relationships/hyperlink" Id="rId39" Target="/docs/extensions/assignments-manager/create-assignments-template/" TargetMode="External" /><Relationship Type="http://schemas.openxmlformats.org/officeDocument/2006/relationships/hyperlink" Id="rId40" Target="/docs/extensions/assignments-manager/how-it-works/" TargetMode="External" /><Relationship Type="http://schemas.openxmlformats.org/officeDocument/2006/relationships/hyperlink" Id="rId37" Target="/docs/extensions/assignments-manager/overview/" TargetMode="External" /><Relationship Type="http://schemas.openxmlformats.org/officeDocument/2006/relationships/hyperlink" Id="rId38" Target="/docs/extensions/assignments-manager/permissions/" TargetMode="External" /><Relationship Type="http://schemas.openxmlformats.org/officeDocument/2006/relationships/hyperlink" Id="rId41" Target="/docs/extensions/assignments-manager/scenarios/" TargetMode="External" /><Relationship Type="http://schemas.openxmlformats.org/officeDocument/2006/relationships/hyperlink" Id="rId48" Target="/docs/faq/" TargetMode="External" /><Relationship Type="http://schemas.openxmlformats.org/officeDocument/2006/relationships/hyperlink" Id="rId49" Target="/docs/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dc:title>
  <dc:creator/>
  <cp:keywords/>
  <dcterms:created xsi:type="dcterms:W3CDTF">2026-01-08T11:56:50Z</dcterms:created>
  <dcterms:modified xsi:type="dcterms:W3CDTF">2026-01-08T11:56:50Z</dcterms:modified>
</cp:coreProperties>
</file>

<file path=docProps/custom.xml><?xml version="1.0" encoding="utf-8"?>
<Properties xmlns="http://schemas.openxmlformats.org/officeDocument/2006/custom-properties" xmlns:vt="http://schemas.openxmlformats.org/officeDocument/2006/docPropsVTypes"/>
</file>