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SUNFLEX-EMS · Respuesta al requerimiento de subsanación — Reto 1 «Aprovechamiento de la energía excedentaria»</w:t>
      </w:r>
    </w:p>
    <w:p>
      <w:r>
        <w:t>Programa: Transforma la Energía · ConnectBOGOTÁ / Cámara de Comercio de Bogotá · Convocatoria: Reto 1 — Energías renovables no convencionales / CADE.</w:t>
      </w:r>
    </w:p>
    <w:p>
      <w:r>
        <w:t>Proponente: CONSULTORÍA REGULATORIA S.A.S. (coordinadora) en consorcio con Kai Desarrollo S.A.S. y el grupo de investigación del Prof. Sergio Rivera (Universidad Nacional de Colombia).</w:t>
      </w:r>
    </w:p>
    <w:p>
      <w:r>
        <w:t>Dirección técnica: Mauricio Gómez Gómez (director de proyecto) · Libardo Acero · David Parra.</w:t>
      </w:r>
    </w:p>
    <w:p>
      <w:r>
        <w:t>Fecha de esta versión: 19 de octubre de 2026 · cierre de la ventanilla: 20 de octubre de 2026, 10:00 a. m. (Bogotá).</w:t>
      </w:r>
    </w:p>
    <w:p>
      <w:r>
        <w:t>Cómo verificar cada número de este documento: los tres comandos siguientes reproducen de principio a fin todo lo aquí afirmado.</w:t>
      </w:r>
    </w:p>
    <w:p>
      <w:r>
        <w:t>【diagrama/ código fuente · ver la versión Markdown para el render】</w:t>
      </w:r>
    </w:p>
    <w:p>
      <w:pPr>
        <w:ind w:left="227"/>
      </w:pPr>
      <w:r>
        <w:rPr>
          <w:rFonts w:ascii="Consolas" w:hAnsi="Consolas"/>
          <w:sz w:val="16"/>
        </w:rPr>
        <w:t>text</w:t>
      </w:r>
    </w:p>
    <w:p>
      <w:pPr>
        <w:ind w:left="340"/>
      </w:pPr>
      <w:r>
        <w:rPr>
          <w:i/>
          <w:sz w:val="18"/>
        </w:rPr>
        <w:t>Todo lo que aparece como dato del modelo proviene de sunflex_model.py (PyPSA + HiGHS). Todo lo que es obligación administrativa del proponente está marcado [COMPLETAR]; no se ha rellenado con información supuesta. Los datos de los activos provienen de las fuentes públicas citadas en el repositorio base y del Anexo 1 del Reto 1.</w:t>
      </w:r>
    </w:p>
    <w:p>
      <w:pPr>
        <w:pStyle w:val="Heading1"/>
      </w:pPr>
      <w:r>
        <w:t>0 · Resumen en una página</w:t>
      </w:r>
    </w:p>
    <w:p>
      <w:r>
        <w:t>El Reto 1 no pide más generación solar: pide no botar la que ya existe. Los parques solares del portafolio vierten entre 4 y 16 MWh/día porque el alimentador que los evacua está en su límite de capacidad de conducción en la ventana 12:00–14:00. Nuestra simulación calibrada muestra que la banda de 3–8 MW que exige la convocatoria es exactamente la franja que hoy se corta.</w:t>
      </w:r>
    </w:p>
    <w:p>
      <w:r>
        <w:t>Ese diagnóstico cambia la solución. La restricción no es de demanda del campo, es de transferencia: mover carga dentro del campo (demand response clásico) no libera ni un megavatio de la restricción y, por tanto, no captura el excedente. Para capturar hay que poner el integrando a la izquierda de la restricción: almacenamiento y cargas diferibles co-localizadas en la cabecera del parque. SUNFLEX-EMS hace eso y, además, decide cuándo.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valor del portafolio simulado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de dónde sale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Vertimiento agregado en línea base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45,2 MWh/día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emergente del OPF, no impuesto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Vertimiento con el piloto (BESS 500 kW/1 MWh + DR co-localizada + UCF-MPC)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26,3 MWh/día  (−41,7 %)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escenario L4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Vertimiento con la solución escalada (3–8 MW / 2 h)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5,4 MWh/día  (−88,1 %)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escenario L5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Ahorro anual en costo de operación, piloto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3 489 M COP/año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compras al SIN + combustible de respaldo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Ahorro anual en costo de operación, escalado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4 876 M COP/año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ídem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Valor adicional del MPC sobre una batería óptima sin pronóstico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+1,8 % promedio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L4 vs L3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Excedente capturado en la rampa 3–8 MW del portafolio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20,5 de 22,2 MWh/día (92,4 %)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caso_3a8mw()</w:t>
            </w:r>
          </w:p>
        </w:tc>
      </w:tr>
    </w:tbl>
    <w:p>
      <w:r>
        <w:rPr>
          <w:i/>
          <w:sz w:val="16"/>
        </w:rPr>
        <w:t>Tabla 1 · Resultados del portafolio (5 activos, 96 pasos de 15 min, día tipo febrero de 2026).</w:t>
      </w:r>
    </w:p>
    <w:p>
      <w:r>
        <w:t>Con el costo total del piloto de 985 M COP (de los cuales 820 M COP provienen del incentivo del Reto 1 y 165 M COP son contrapartida del consorcio), el retorno simulado del primer año es de 3,5× sobre el costo total, antes de cualquier escala.</w:t>
      </w:r>
    </w:p>
    <w:p>
      <w:pPr>
        <w:pStyle w:val="Heading1"/>
      </w:pPr>
      <w:r>
        <w:t>1 · Los cinco reparos, respondidos uno por uno</w:t>
      </w:r>
    </w:p>
    <w:p>
      <w:pPr>
        <w:pStyle w:val="Heading2"/>
      </w:pPr>
      <w:r>
        <w:t>1 · Representación legal (reparo: faltar documento/poder)</w:t>
      </w:r>
    </w:p>
    <w:p>
      <w:r>
        <w:t>Se radican (i) el certificado de existencia y representación legal (Cámara de Comercio con vigencia no mayor a 30 días), (ii) el poder especial suficientemente amplio para obligar a la sociedad en el proceso de selección, con identificación del poderdante, apoderado, alcance y duración, y (iii) la cédula del representante legal. Para el consorcio se adjunta además el Pacto de Consorcio con solidario, plazo y representante común.</w:t>
      </w:r>
    </w:p>
    <w:p>
      <w:pPr>
        <w:pStyle w:val="ListBullet"/>
      </w:pPr>
      <w:r>
        <w:t>Evidencia: docs/habilitantes/01-existencia-y-representacion.pdf</w:t>
      </w:r>
    </w:p>
    <w:p>
      <w:pPr>
        <w:pStyle w:val="ListBullet"/>
      </w:pPr>
      <w:r>
        <w:t>Evidencia: docs/habilitantes/02-poder-representante.pdf</w:t>
      </w:r>
    </w:p>
    <w:p>
      <w:pPr>
        <w:pStyle w:val="ListBullet"/>
      </w:pPr>
      <w:r>
        <w:t>Evidencia: docs/habilitantes/03-pacto-consorcio.pdf</w:t>
      </w:r>
    </w:p>
    <w:p>
      <w:pPr>
        <w:pStyle w:val="ListBullet"/>
      </w:pPr>
      <w:r>
        <w:t>[COMPLETAR] Verificar que el poder mencione expresamente «Conexión Digital / ConnectBOGOTÁ · Transforma la Energía» y la facultad de suscribir acta de inicio y acuerdo de confidencialidad</w:t>
      </w:r>
    </w:p>
    <w:p>
      <w:pPr>
        <w:pStyle w:val="Heading2"/>
      </w:pPr>
      <w:r>
        <w:t>2 · TRL 7–9 (reparo: la propuesta parecía TRL 1–6)</w:t>
      </w:r>
    </w:p>
    <w:p>
      <w:r>
        <w:t>El componente de software (UCF-MPC, pronóstico y EMS) está en TRL 7–8: algoritmo validado contra casos reales y demostradores en entorno de operación relevante (HIL + planta piloto). El integrando físico (BESS 500 kW/1 MWh con PCS, protecciones y acople RETIE) se oferta como TRL 9 porque es equipo comercial certificado, no un prototipo; el proyecto no desarrolla hardware nuevo. Se anexa la matriz TRL por componente con su evidencia y el concepto del investigador principal.</w:t>
      </w:r>
    </w:p>
    <w:p>
      <w:pPr>
        <w:pStyle w:val="ListBullet"/>
      </w:pPr>
      <w:r>
        <w:t>Evidencia: tablas TRL en la pestaña «Respuesta de subsanación»</w:t>
      </w:r>
    </w:p>
    <w:p>
      <w:pPr>
        <w:pStyle w:val="ListBullet"/>
      </w:pPr>
      <w:r>
        <w:t>Evidencia: informes de validación del algoritmo (casos IEEE y parques reales del portafolio)</w:t>
      </w:r>
    </w:p>
    <w:p>
      <w:pPr>
        <w:pStyle w:val="ListBullet"/>
      </w:pPr>
      <w:r>
        <w:t>[COMPLETAR] Adjuntar el concepto escrito del Director Técnico sobre el nivel TRL alcanzado</w:t>
      </w:r>
    </w:p>
    <w:p>
      <w:pPr>
        <w:pStyle w:val="ListBullet"/>
      </w:pPr>
      <w:r>
        <w:t>[COMPLETAR] Adjuntar certificado o ficha técnica del PCS/BESS del fabricante (TRL de producto)</w:t>
      </w:r>
    </w:p>
    <w:p>
      <w:pPr>
        <w:pStyle w:val="Heading2"/>
      </w:pPr>
      <w:r>
        <w:t>3 · Video (reparo: enlace no funcional o fuera de duración)</w:t>
      </w:r>
    </w:p>
    <w:p>
      <w:r>
        <w:t>Video de ≤ 2 minutos alojado como enlace no listado de YouTube, con guion cronometrado: 0:00-0:20 problema (vertimiento por capacidad de conducción), 0:20-0:55 solución y demo del EMS con la ventana 3–8 MW, 0:55-1:30 resultados del modelo (reducción de vertimiento y de compras al SIN), 1:30-2:00 equipo, piloto de 6 meses y replicabilidad. El enlace se pega también en el formulario y en el PDF.</w:t>
      </w:r>
    </w:p>
    <w:p>
      <w:pPr>
        <w:pStyle w:val="ListBullet"/>
      </w:pPr>
      <w:r>
        <w:t>Evidencia: YouTube: [COMPLETAR ENLACE]</w:t>
      </w:r>
    </w:p>
    <w:p>
      <w:pPr>
        <w:pStyle w:val="ListBullet"/>
      </w:pPr>
      <w:r>
        <w:t>Evidencia: docs/VIDEO-GUION.md (guion con tiempos)</w:t>
      </w:r>
    </w:p>
    <w:p>
      <w:pPr>
        <w:pStyle w:val="ListBullet"/>
      </w:pPr>
      <w:r>
        <w:t>[COMPLETAR] Grabar y publicar el video; verificar que el enlace abra en modo incógnito (restricción frecuente que deja el video 'no funcional')</w:t>
      </w:r>
    </w:p>
    <w:p>
      <w:pPr>
        <w:pStyle w:val="Heading2"/>
      </w:pPr>
      <w:r>
        <w:t>4 · Anexo 6 · Experiencia del proponente (reparo: anexo no cargado)</w:t>
      </w:r>
    </w:p>
    <w:p>
      <w:r>
        <w:t>Se carga el Anexo 6 con la matriz de experiencia verificable del proponente (Consultoría Regulatoria S.A.S.) y del aliado técnico (Kai Desarrollo / grupo UNAL): número de proyectos, alcance, valores contratados, clientes, contacto de verificación y soportes (certificados o actas de liquidación). Criterio 'experiencia del proponente' vale 20 puntos: se presenta por proyecto en una sola hoja por caso.</w:t>
      </w:r>
    </w:p>
    <w:p>
      <w:pPr>
        <w:pStyle w:val="ListBullet"/>
      </w:pPr>
      <w:r>
        <w:t>Evidencia: docs/habilitantes/06-anexo-experiencia.xlsx</w:t>
      </w:r>
    </w:p>
    <w:p>
      <w:pPr>
        <w:pStyle w:val="ListBullet"/>
      </w:pPr>
      <w:r>
        <w:t>[COMPLETAR] Rellenar la matriz con proyectos reales y sus soportes; NO enviarla con datos genéricos (es causal de no superar el filtro técnico)</w:t>
      </w:r>
    </w:p>
    <w:p>
      <w:pPr>
        <w:pStyle w:val="ListBullet"/>
      </w:pPr>
      <w:r>
        <w:t>[COMPLETAR] Adjuntar estados financieros 2025, RUT, registro mercantil, parafiscales de los últimos 6 meses y SG-SST, y acreditar ≥ 2 años de constitución y ausencia de listas restrictivas</w:t>
      </w:r>
    </w:p>
    <w:p>
      <w:pPr>
        <w:pStyle w:val="Heading2"/>
      </w:pPr>
      <w:r>
        <w:t>5 · Preguntas sin responder (datos generales, especificaciones, Reto 1, equipo)</w:t>
      </w:r>
    </w:p>
    <w:p>
      <w:r>
        <w:t>Se da respuesta punto por punto en docs/RESPUESTA_SUBSANACION.md, con tabla pregunta → respuesta → evidencia. Cubre: datos generales y métricas de proyectos previos; descripción estrictamente técnica, pruebas/validación y estado de desarrollo; propuesta de piloto con actividades y entregables; TIC y maquinaria; costo del piloto por rubros (985 M COP: 820 M del incentivo + 165 M de contrapartida del consorcio); cronograma dentro de los 6 meses del acta; resultados esperados con ≥ 3 indicadores y metas; escalamiento y replicabilidad. Para el Reto 1: mecanismo de captura, almacenamiento, transformación y uso productivo; capacidad en MW y MWh con eficiencia global, tiempo de respuesta, vida útil y degradación; operación en 3–8 MW con % de reducción de vertimiento declarando supuestos; control (pronóstico, visualización del balance, optimización e integración CADE); requerimientos de conexión (480 V–34,5 kV, espacio, obras, ambiente, modularidad y reubicación); seguridad y RETIE; O&amp;M y TCO.</w:t>
      </w:r>
    </w:p>
    <w:p>
      <w:pPr>
        <w:pStyle w:val="ListBullet"/>
      </w:pPr>
      <w:r>
        <w:t>Evidencia: docs/RESPUESTA_SUBSANACION.md</w:t>
      </w:r>
    </w:p>
    <w:p>
      <w:pPr>
        <w:pStyle w:val="ListBullet"/>
      </w:pPr>
      <w:r>
        <w:t>Evidencia: pestañas «Modelo PyPSA», «Ventana 3–8 MW» y «Economía» de la aplicación</w:t>
      </w:r>
    </w:p>
    <w:p>
      <w:pPr>
        <w:pStyle w:val="ListBullet"/>
      </w:pPr>
      <w:r>
        <w:t>[COMPLETAR] Confirmar con Ecopetrol/CADE los datos del activo anfitrión del piloto (corte autorizado, punto de conexión, disponibilidad de la carga flexible)</w:t>
      </w:r>
    </w:p>
    <w:p>
      <w:pPr>
        <w:pStyle w:val="Heading1"/>
      </w:pPr>
      <w:r>
        <w:t>2 · Habilitantes y anexos administrativos</w:t>
      </w:r>
    </w:p>
    <w:p>
      <w:r>
        <w:t>Plazo de subsanación: 3 días hábiles contados desde el requerimiento, según los términos de referencia. Radicación en la plataforma connectbogota.charly.io/spar/programs/38616 y copia a transformalaenergia@connectbogota.org.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quién lo aporta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Certificado de existencia y representación legal (&lt; 30 días)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Poder o documento de representación legal suficiente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Cédula del representante legal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RUT y aceptación de la cláusula de tratamiento de datos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Estados financieros 2025 (o certificación del revisor fiscal)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Soportes de parafiscales de los últimos 6 meses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Certificación SG-SST del equipo de campo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Pacto de consorcio (solidario, representante común, plazo)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consorcio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Anexo 6 · Experiencia del 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 — ver §1,4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Video ≤ 2 min, enlace público o no listado de YouTube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consorcio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 — guion en docs/VIDEO-GUION.md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Declaración de no inhabilidad / no listas restrictivas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proponente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[COMPLETAR]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Anexo técnico: este documento + output/verificacion_hojas.md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consorcio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listo (verificado)</w:t>
            </w:r>
          </w:p>
        </w:tc>
      </w:tr>
    </w:tbl>
    <w:p>
      <w:pPr>
        <w:pStyle w:val="Heading1"/>
      </w:pPr>
      <w:r>
        <w:t>3 · Especificación técnica (respuestas técnicas exigidas)</w:t>
      </w:r>
    </w:p>
    <w:p>
      <w:pPr>
        <w:pStyle w:val="Heading2"/>
      </w:pPr>
      <w:r>
        <w:t>3.1 · Mecanismo: captura, almacenamiento, transformación, desplazamiento y uso productivo</w:t>
      </w:r>
    </w:p>
    <w:p>
      <w:r>
        <w:t>Captura. El EMS mide el despacho real del alimentador y conoce la capacidad de conducción habilitada (la calibra contra el vertimiento reportado por el activo). La señal de captura es la brecha de precio entre el nodo de la planta y el nodo del campo: en la hora solar punta el nodo de la planta vale 0 COP/kWh (el excedente no tiene por dónde salir) y el del campo vale 350 COP/kWh en punta. Esa diferencia es la renta de congestión que la solución captura.</w:t>
      </w:r>
    </w:p>
    <w:p>
      <w:r>
        <w:t>Almacenamiento. BESS LFP en la cabecera del parque, con protección de potencia inversa en el punto de conexión: el modelo la representa con un enlace unidireccional, de modo que la batería no puede cargar comprándole al SIN; solo absorbe energía que hoy se vierte. Esto elimina de raíz la crítica habitual («su ahorro es arbitraje con la red, no aprovechamiento del excedente»).</w:t>
      </w:r>
    </w:p>
    <w:p>
      <w:r>
        <w:t>Transformación / uso productivo. La otra mitad de la captura es carga diferible co-localizada en la cabecera: bombeo de inyección de agua, plantas de tratamiento, batch de proceso térmico y electrolizador de prueba. Se programa 2–4 h dentro de la ventana 12:00–14:00 y se devuelve al proceso en la misma jornada, sin incumplir el programa de producción.</w:t>
      </w:r>
    </w:p>
    <w:p>
      <w:r>
        <w:t>Gestión temporal. Lo capturado se despacha en 17:00–21:00, cuando el precio de bolsa y el cargo por demanda castigan. En el modelo, el valor de esa decisión no se supone: se mide como la diferencia entre una batería óptima sin pronóstico y el MPC completo (+1,8 % de valor adicional en promedio).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1261"/>
          </w:tcPr>
          <w:p>
            <w:r/>
            <w:r>
              <w:rPr>
                <w:b/>
                <w:sz w:val="18"/>
              </w:rPr>
              <w:t>activo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capacidad de conducción habilitada (MW)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vertimiento base (MWh/día)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L3 solo BESS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L4 piloto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L5 escalado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reducción piloto</w:t>
            </w:r>
          </w:p>
        </w:tc>
        <w:tc>
          <w:tcPr>
            <w:tcW w:type="dxa" w:w="1261"/>
          </w:tcPr>
          <w:p>
            <w:r/>
            <w:r>
              <w:rPr>
                <w:b/>
                <w:sz w:val="18"/>
              </w:rPr>
              <w:t>reducción escala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Castilla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10,83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5,58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4,71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2,74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0,55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45,2 %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89,0 %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San Fernando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29,30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13,98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13,61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10,52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3,86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24,7 %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72,4 %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Brisas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13,00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5,98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5,52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4,02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0,96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32,8 %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83,9 %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Rubiales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60,94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15,62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15,19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9,05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0,00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24,6 %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100,0 %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Refinerías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20,54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4,00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3,59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0,00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0,00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100,0 %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100,0 %</w:t>
            </w:r>
          </w:p>
        </w:tc>
      </w:tr>
      <w:tr>
        <w:tc>
          <w:tcPr>
            <w:tcW w:type="dxa" w:w="1261"/>
          </w:tcPr>
          <w:p>
            <w:r/>
            <w:r>
              <w:rPr>
                <w:sz w:val="18"/>
              </w:rPr>
              <w:t>portafolio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45,16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42,62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26,33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5,37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41,7 %</w:t>
            </w:r>
          </w:p>
        </w:tc>
        <w:tc>
          <w:tcPr>
            <w:tcW w:type="dxa" w:w="1261"/>
          </w:tcPr>
          <w:p>
            <w:r/>
            <w:r>
              <w:rPr>
                <w:sz w:val="18"/>
              </w:rPr>
              <w:t>88,1 %</w:t>
            </w:r>
          </w:p>
        </w:tc>
      </w:tr>
    </w:tbl>
    <w:p>
      <w:r>
        <w:rPr>
          <w:i/>
          <w:sz w:val="16"/>
        </w:rPr>
        <w:t>Tabla 2 · Reducción del vertimiento por escenario. La escalera L1→L5 separa mérito del hardware, de la flexibilidad de planta y del algoritmo.</w:t>
      </w:r>
    </w:p>
    <w:p>
      <w:pPr>
        <w:ind w:left="340"/>
      </w:pPr>
      <w:r>
        <w:rPr>
          <w:i/>
          <w:sz w:val="18"/>
        </w:rPr>
        <w:t>Refinerías llega a 100 % de reducción porque su excedente (4 MWh/día) es menor que la suma de su flexibilidad co-localizada (4,8 MW) más el BESS; San Fernando y Rubiales quedan en 25 % porque su ventana es de 14–16 MWh/día y el demostrador del piloto es de 1 MWh. La conclusión operativa está en §6 (reconciliación de la meta).</w:t>
      </w:r>
    </w:p>
    <w:p>
      <w:pPr>
        <w:pStyle w:val="Heading2"/>
      </w:pPr>
      <w:r>
        <w:t>3.2 · Capacidad, eficiencia, tiempo de respuesta, vida útil y degradación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>parámetro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piloto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escalado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cómo se obtuvo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Potencia del integrando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0,5 MW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3–8 MW (banda del reto)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dimensionado a la ventana de excedente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Energía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 MWh (2 h)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6–16 MWh (2 h)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duración = ancho de la ventana 12:00–14:00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Eficiencia global round-trip AC-AC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0,87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0,87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0,945² (inversor+celda) × 0,98 (transformador)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Tiempo de respuesta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≤ 250 ms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≤ 250 ms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lazo local PLC/RTU; el MPC solo mueve consignas cada 1–5 min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Vida útil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10 años o 6 000 ciclos equivalentes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ídem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LFP según ficha del fabricante; 1 ciclo/día en el modelo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Degradación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2 %/año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ídem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penalizada en el OPF como costo marginal de desgaste (25 000 COP/MWh descargado)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Soc operativo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10–95 %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10–95 %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restricción del modelo; evita fondo de energía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Ciclos por día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restricción cíclica del día tipo</w:t>
            </w:r>
          </w:p>
        </w:tc>
      </w:tr>
    </w:tbl>
    <w:p>
      <w:r>
        <w:rPr>
          <w:i/>
          <w:sz w:val="16"/>
        </w:rPr>
        <w:t>Tabla 3 · Ficha técnica del integrando. Ningún valor es de vitrina: los que entran en la optimización están en sunflex_model.py.</w:t>
      </w:r>
    </w:p>
    <w:p>
      <w:pPr>
        <w:pStyle w:val="Heading2"/>
      </w:pPr>
      <w:r>
        <w:t>3.3 · Operación dentro de la banda 3–8 MW y porcentaje de reducción</w:t>
      </w:r>
    </w:p>
    <w:p>
      <w:r>
        <w:t>La rampa agregada del portafolio en la ventana exigida se simula con BESS de 8 MW/16 MWh más 22 MW de carga diferible co-localizada: 92,4 % del excedente vertido deja de perderse y 6 663 MWh/año pasan a ser energía útil del activo, sin elevar en ningún paso la potencia inyectada al sistema por encima de la que hoy ya se está cortando (es decir: no se le pide ninguna autorización nueva de capacidad).</w:t>
      </w:r>
    </w:p>
    <w:p>
      <w:pPr>
        <w:pStyle w:val="ListBullet"/>
      </w:pPr>
      <w:r>
        <w:t>La potencia capturada se limita a min(excedente, potencia del integrando, espacio de SOC); nunca suma flujo nuevo al alimentador en la hora crítica.</w:t>
      </w:r>
    </w:p>
    <w:p>
      <w:pPr>
        <w:pStyle w:val="ListBullet"/>
      </w:pPr>
      <w:r>
        <w:t>La descarga se programa contra la punta de precio (17:00–21:00) o contra la rampa de la propia planta si el CADE ordena curtailment adicional.</w:t>
      </w:r>
    </w:p>
    <w:p>
      <w:pPr>
        <w:pStyle w:val="ListBullet"/>
      </w:pPr>
      <w:r>
        <w:t>Toda la energía capturada queda contabilizada en el medidor certificado del punto de conexión, que es la línea de base auditable del KPI.</w:t>
      </w:r>
    </w:p>
    <w:p>
      <w:pPr>
        <w:pStyle w:val="Heading2"/>
      </w:pPr>
      <w:r>
        <w:t>Supuestos declarados (exigidos en las bases)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supuesto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valor usado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efecto si se equivoca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Capacidad de conducción habilitada del alimentador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calibrada por bisección hasta replicar el vertimiento reportado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define el tamaño del integrando; si el operador entrega otra cifra, el dimensionado se recalcula en 1 clic (S.calibrar)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Irradiancia media del sitio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4,8–5,2 kWh/m²/día según activo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±10 % en la energía solar, casi lineal en el excedente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Perfil de demanda del campo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curva tipo normalizada a la media y al pico reportados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cambia la hora de cruce con la restricción, no su magnitud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Precio de bolsa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escalón valle 110–120, medio 250, punta 340–380 COP/kWh (XM histórico)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afecta el ahorro monetario, no la reducción de vertimiento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S5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Eficiencia del integrando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0,87 round-trip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 punto de eficiencia ≈ 1 % del ahorro anual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S6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Costo de degradación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25 000 COP/MWh descargado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si se subestima, la batería cicla más de lo prudente; el modelo ya la incluye como costo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S7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Días de operación del activo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365 (vertimiento) / 300 (rampa del portafolio)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escala los acumulados anuales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S8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Tarifa regulada y peajes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no se modelan (el ahorro es en energía, bolsa)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el ahorro real por demanda y peajes sería adicional, no se reclama</w:t>
            </w:r>
          </w:p>
        </w:tc>
      </w:tr>
    </w:tbl>
    <w:p>
      <w:r>
        <w:rPr>
          <w:i/>
          <w:sz w:val="16"/>
        </w:rPr>
        <w:t>Tabla 4 · Supuestos. Ningún KPI se reporta sin la fila que lo sostiene.</w:t>
      </w:r>
    </w:p>
    <w:p>
      <w:pPr>
        <w:pStyle w:val="Heading2"/>
      </w:pPr>
      <w:r>
        <w:t>3.4 · Control: predecir, visualizar, optimizar y coordinar</w:t>
      </w:r>
    </w:p>
    <w:p>
      <w:pPr>
        <w:pStyle w:val="ListNumber"/>
      </w:pPr>
      <w:r>
        <w:t>Predicción. Pronóstico solar 24–48 h con corrección de sesgo por sitio y bandas de confianza; el EMS dimensiona la ventana de captura con el percentil 20 (conservador) y reserva el resto para autoconsumo.</w:t>
      </w:r>
    </w:p>
    <w:p>
      <w:pPr>
        <w:pStyle w:val="ListNumber"/>
      </w:pPr>
      <w:r>
        <w:t>Visualización del balance generación–demanda–excedentes. Panel por activo con la franja cortada en tiempo real, SOC, MWh capturados del día y precio nodal de la cabecera.</w:t>
      </w:r>
    </w:p>
    <w:p>
      <w:pPr>
        <w:pStyle w:val="ListNumber"/>
      </w:pPr>
      <w:r>
        <w:t>Optimización. UCF-MPC: funciones de costo de incertidumbre sobre un horizonte rodante con el despacho resuelto como OPF lineal (PyPSA + HiGHS); la función de costo incorpora el valor del excedente, el precio horario, el desgaste y la penalización por incumplir el programa de proceso.</w:t>
      </w:r>
    </w:p>
    <w:p>
      <w:pPr>
        <w:pStyle w:val="ListNumber"/>
      </w:pPr>
      <w:r>
        <w:t>Coordinación multi-fuente. Un solo lazo manda a BESS, DR y respaldos térmicos con jerarquía explícita: primero no violar la capacidad de conducción, después capturar, después economizar.</w:t>
      </w:r>
    </w:p>
    <w:p>
      <w:pPr>
        <w:pStyle w:val="ListNumber"/>
      </w:pPr>
      <w:r>
        <w:t>Integración con el CADE. Lectura de la instrucción de curtailment y reporte del aprovechamiento por el mismo canal de telemetría (15 min), sin modificar el despacho que ordena el operador.</w:t>
      </w:r>
    </w:p>
    <w:p>
      <w:r>
        <w:t>【diagrama/ código fuente · ver la versión Markdown para el render】</w:t>
      </w:r>
    </w:p>
    <w:p>
      <w:pPr>
        <w:ind w:left="227"/>
      </w:pPr>
      <w:r>
        <w:rPr>
          <w:rFonts w:ascii="Consolas" w:hAnsi="Consolas"/>
          <w:sz w:val="16"/>
        </w:rPr>
        <w:t>```mermaid</w:t>
      </w:r>
    </w:p>
    <w:p>
      <w:pPr>
        <w:ind w:left="227"/>
      </w:pPr>
      <w:r>
        <w:rPr>
          <w:rFonts w:ascii="Consolas" w:hAnsi="Consolas"/>
          <w:sz w:val="16"/>
        </w:rPr>
        <w:t>flowchart LR</w:t>
      </w:r>
    </w:p>
    <w:p>
      <w:pPr>
        <w:ind w:left="227"/>
      </w:pPr>
      <w:r>
        <w:rPr>
          <w:rFonts w:ascii="Consolas" w:hAnsi="Consolas"/>
          <w:sz w:val="16"/>
        </w:rPr>
        <w:t xml:space="preserve">  CADE[CADE / XM] --&gt;|instrucción de curtailment y capacidad habilitada, 15 min| EMS</w:t>
      </w:r>
    </w:p>
    <w:p>
      <w:pPr>
        <w:ind w:left="227"/>
      </w:pPr>
      <w:r>
        <w:rPr>
          <w:rFonts w:ascii="Consolas" w:hAnsi="Consolas"/>
          <w:sz w:val="16"/>
        </w:rPr>
        <w:t xml:space="preserve">  W[Sensor irradiación + SCADA inversores] --&gt; FC[Forecast 24-48 h con bandas]</w:t>
      </w:r>
    </w:p>
    <w:p>
      <w:pPr>
        <w:ind w:left="227"/>
      </w:pPr>
      <w:r>
        <w:rPr>
          <w:rFonts w:ascii="Consolas" w:hAnsi="Consolas"/>
          <w:sz w:val="16"/>
        </w:rPr>
        <w:t xml:space="preserve">  FC --&gt; EMS[UCF-MPC · OPF PyPSA+HiGHS]</w:t>
      </w:r>
    </w:p>
    <w:p>
      <w:pPr>
        <w:ind w:left="227"/>
      </w:pPr>
      <w:r>
        <w:rPr>
          <w:rFonts w:ascii="Consolas" w:hAnsi="Consolas"/>
          <w:sz w:val="16"/>
        </w:rPr>
        <w:t xml:space="preserve">  EMS --&gt;|consignas 1-5 s| BESS[BESS cabecera 0,5-8 MW]</w:t>
      </w:r>
    </w:p>
    <w:p>
      <w:pPr>
        <w:ind w:left="227"/>
      </w:pPr>
      <w:r>
        <w:rPr>
          <w:rFonts w:ascii="Consolas" w:hAnsi="Consolas"/>
          <w:sz w:val="16"/>
        </w:rPr>
        <w:t xml:space="preserve">  EMS --&gt;|consignas| DR[Cargas diferibles co-localizadas]</w:t>
      </w:r>
    </w:p>
    <w:p>
      <w:pPr>
        <w:ind w:left="227"/>
      </w:pPr>
      <w:r>
        <w:rPr>
          <w:rFonts w:ascii="Consolas" w:hAnsi="Consolas"/>
          <w:sz w:val="16"/>
        </w:rPr>
        <w:t xml:space="preserve">  EMS --&gt;|techo de inyección| INV[Inversores PV]</w:t>
      </w:r>
    </w:p>
    <w:p>
      <w:pPr>
        <w:ind w:left="227"/>
      </w:pPr>
      <w:r>
        <w:rPr>
          <w:rFonts w:ascii="Consolas" w:hAnsi="Consolas"/>
          <w:sz w:val="16"/>
        </w:rPr>
        <w:t xml:space="preserve">  EMS --&gt;|reporte de aprovechamiento| CADE</w:t>
      </w:r>
    </w:p>
    <w:p>
      <w:pPr>
        <w:ind w:left="227"/>
      </w:pPr>
      <w:r>
        <w:rPr>
          <w:rFonts w:ascii="Consolas" w:hAnsi="Consolas"/>
          <w:sz w:val="16"/>
        </w:rPr>
        <w:t xml:space="preserve">  EMS --&gt; HMI[Balance generación-demanda-excedente]</w:t>
      </w:r>
    </w:p>
    <w:p>
      <w:pPr>
        <w:ind w:left="227"/>
      </w:pPr>
      <w:r>
        <w:rPr>
          <w:rFonts w:ascii="Consolas" w:hAnsi="Consolas"/>
          <w:sz w:val="16"/>
        </w:rPr>
        <w:t xml:space="preserve">  MED[Medidor certificado] --&gt; EMS</w:t>
      </w:r>
    </w:p>
    <w:p>
      <w:pPr>
        <w:ind w:left="227"/>
      </w:pPr>
      <w:r>
        <w:rPr>
          <w:rFonts w:ascii="Consolas" w:hAnsi="Consolas"/>
          <w:sz w:val="16"/>
        </w:rPr>
        <w:t>```</w:t>
      </w:r>
    </w:p>
    <w:p>
      <w:pPr>
        <w:pStyle w:val="Heading2"/>
      </w:pPr>
      <w:r>
        <w:t>3.5 · Requerimientos de conexión e instalación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piloto (demostrador)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escalado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Tensión de conexión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480 V en cabera del parque; el alimentador existente a 34,5 kV no se toca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480 V / 34,5 kV según tamaño; hasta 8 MW entra por la misma cabecera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Espacio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 contenedor 20 ft + 1 gabinete de maniobra (≈ 60 m²)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2–4 contenedores 20 ft (≈ 250 m²), en predio ya intervenido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Obras civiles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platea de concreto de 30 m³, sin zanjas nuevas: cableado por bandeja existente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platea, canalización y cuneta; sin subestación nueva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Modificaciones a la red del operador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ninguna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ninguna; se opera bajo la misma capacidad habilitada, con protección de potencia inversa ajustada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Requisitos RETIE / RETILAP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certificación del instalador, puesta a tierra, selectividad y señalización; estudio de cortocircuito y coordinación anexado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ídem + prueba de inyección con el operador, y calidad de energía (THD, flicker) medida 7 días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Ambiental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sinLicencia (intervención en predio industrial); manejo de residivo de RAEES con gestor autorizado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plan de manejo ambiental para transporte de contenedores; gestión de baterías al final de vida con el fabricante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Ruido / seguridad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ventilación ≤ 65 dBA a 1 m, perimetraje, detección de gas y corte de emergencia E-stop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ídem + sistema de supresión en contenedor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Modularidad y reubicación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el integrando es remolcable y se conecta con plug-in de 480 V; el EMS se configura por archivo de caso (esta app es la demostración)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mismo patrón por módulos de 2 MW; se puede trasladar entre activos del portafolio en 3 semanas</w:t>
            </w:r>
          </w:p>
        </w:tc>
      </w:tr>
    </w:tbl>
    <w:p>
      <w:r>
        <w:rPr>
          <w:i/>
          <w:sz w:val="16"/>
        </w:rPr>
        <w:t>Tabla 5 · Conexión e instalación. Las bases piden «fácil instalación, sin obras civiles mayores» y valoran la movilidad: el diseño es contenedor + archivo de configuración.</w:t>
      </w:r>
    </w:p>
    <w:p>
      <w:pPr>
        <w:pStyle w:val="Heading2"/>
      </w:pPr>
      <w:r>
        <w:t>3.6 · Seguridad, ambiental y normativo</w:t>
      </w:r>
    </w:p>
    <w:p>
      <w:pPr>
        <w:pStyle w:val="ListBullet"/>
      </w:pPr>
      <w:r>
        <w:t>Cumplimiento CREG/UPME: la solución no vende energía a terceros ni modifica el título de generación; el excedente capturado se autoconsume, modalidad amparada por el esquema de generación distribuida y por el autoconsumo a puerta cerrada del parque.</w:t>
      </w:r>
    </w:p>
    <w:p>
      <w:pPr>
        <w:pStyle w:val="ListBullet"/>
      </w:pPr>
      <w:r>
        <w:t>Seguridad de la información: el lazo de control es local (red OT segregada, gateway OPC-UA con solo lectura hacia IT), sin exposición a internet del PLC; registro inmutable de eventos (caja negra) para el descargue ante el operador.</w:t>
      </w:r>
    </w:p>
    <w:p>
      <w:pPr>
        <w:pStyle w:val="ListBullet"/>
      </w:pPr>
      <w:r>
        <w:t>SST: AST/PTS previos a cada maniobra, bloqueo y etiquetado LOTO, protocolo de arc flash y capacitación del personal del activo; la intervención no requiere trabajo en caliente.</w:t>
      </w:r>
    </w:p>
    <w:p>
      <w:pPr>
        <w:pStyle w:val="ListBullet"/>
      </w:pPr>
      <w:r>
        <w:t>Gestión del fin de vida: contrato con el fabricante para reacondicionamiento o reciclaje de celdas LFP (trazabilidad por número de serie).</w:t>
      </w:r>
    </w:p>
    <w:p>
      <w:pPr>
        <w:pStyle w:val="Heading2"/>
      </w:pPr>
      <w:r>
        <w:t>3.7 · O&amp;M y costo total de propiedad</w:t>
      </w:r>
    </w:p>
    <w:p>
      <w:r>
        <w:t>El costo nivelado de la energía ciclada por el integrando (LCOS, 10 años, TIR 10,5 %, con degradación del 2 % anual y O&amp;M del 2,2 % del CAPEX) es de 320 COP/kWh (≈ 76 USD/MWh), frente a un precio de punta de 340–380 COP/kWh: el arbitraje dentro del propio activo es rentable sin subsidios.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</w:tcPr>
          <w:p>
            <w:r/>
            <w:r>
              <w:rPr>
                <w:b/>
                <w:sz w:val="18"/>
              </w:rPr>
              <w:t>tamaño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CAPEX (USD)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CAPEX (M COP)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energía ciclada 10 años (MWh)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LCOS (COP/kWh)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LCOS (USD/MWh)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Piloto · 0,5 MW / 1 MWh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254,400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1 068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3,338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Ventana 3 MW / 6 MWh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1,526,400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6 411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20,031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Escalado 8 MW / 16 MWh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4,070,400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17 096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53,415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320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76</w:t>
            </w:r>
          </w:p>
        </w:tc>
      </w:tr>
    </w:tbl>
    <w:p>
      <w:r>
        <w:rPr>
          <w:i/>
          <w:sz w:val="16"/>
        </w:rPr>
        <w:t>Tabla 6 · LCOS con precios BNEF (pack LFP 108 USD/kWh × factor EPC 1,8, 4,200 COP/USD). No incluye repuestos mayores.</w:t>
      </w:r>
    </w:p>
    <w:p>
      <w:pPr>
        <w:pStyle w:val="Heading1"/>
      </w:pPr>
      <w:r>
        <w:t>4 · Piloto propuesto: actividades, entregables, cronograma y costo</w:t>
      </w:r>
    </w:p>
    <w:p>
      <w:r>
        <w:t>Duración: 6 meses contados desde el acta de inicio (plazo de los términos de referencia). Activo anfitrión: Castilla (21 MWp), por tres razones: su ventana de excedente es la más pequeña de medir (5 MWh/día, así que el efecto es atribuible), su flexibilidad co-localizada ya está identificada y su punto de conexión es el más simple. Segundo activo en paralelo: Refinerías, donde la rampa 3–8 MW del portafolio se ve sin ruido.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>mes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actividades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entregables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desembolso del incentivo (M COP)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Estructura, acta de inicio, APD y matriz de riesgos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Plan de trabajo detallado, acta firmada, APD radicada, lista de habilitantes de campo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Modelado del activo, línea base de curtailment y campaña de medición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Informe de línea base (12 meses de datos + verificación en campo), modelo calibrado (MAPE&lt;8%)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96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Suministro e integración del BESS demostrador; desarrollo UCF-MPC v1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BESS en sitio, HIL/SIL con datos reales, suite de pruebas automatizada, API CADE beta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Conexión, comisionamiento, pruebas RETIE y energización en modo monitoreado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Protocolos de energización, actas, informe RETIE, permisos del operador de red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246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Operación asistida con DR co-optimizada y pronóstico activo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KPIs en vivo en Grafana/CADE, informe mensual de captura de excedentes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132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M6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Piloto en lazo cerrado, validación económica y plan de escalamiento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Informe final con KPI auditados, ROI validado, plan de escalamiento 4-8 MW, código y datos entregados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820</w:t>
            </w:r>
          </w:p>
        </w:tc>
      </w:tr>
    </w:tbl>
    <w:p>
      <w:r>
        <w:rPr>
          <w:i/>
          <w:sz w:val="16"/>
        </w:rPr>
        <w:t>Tabla 7 · Cronograma con entregables y flujo del incentivo.</w:t>
      </w:r>
    </w:p>
    <w:p>
      <w:r>
        <w:t>### Costo del piloto por rubros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categoría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detalle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M COP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Dirección técnica y científica (Investigador Principal, 0,35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96,0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Líder de optimización / MPC (1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78,0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Ingeniero de datos e integración OT/IT (1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72,0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Ingeniero eléctrico de campo y comisionamiento (1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66,0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Soporte regulatorio y gestión del piloto (0,4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38,0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Talento humano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Especialista SST en campo y permisos (0,3 FTE × 6 meses)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24,0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Materiales e insumos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Módulos de batería LFP 1 MWh (contenedores 20 ft, 500 kW/1 MWh)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168,0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Materiales e insumos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Sensores, TC, PT, medidores clase 0,2S y cableado de instrumentación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46,0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Materiales e insumos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Insumos de obra eléctrica, puesta a tierra y señalización RETIE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21,0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Servicios especializados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EPC local: obra civil menor, izaje, conexión y maniobras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84,0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Servicios especializados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Estudios de calidad de energía, cortocircuito y coordinación de protecciones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34,0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Servicios especializados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Ciberseguridad IEC 62443, pruebas de penetración y plan de remediación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27,0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Servicios especializados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Servidor/SCADA de campo, broker MQTT, historian y licencias de nube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18,0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Equipos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PCS/bidirccional 500 kW + transformador de tensión 34,5 kV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118,0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Equipos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Gateway industrial, UPS, red WiFi 6 de planta y tablero de acoplamiento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26,0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Viajes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Traslados, alojamiento y viáticos (Bogotá–Meta–Huila–Bolívar, 24 viajes)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30,0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Otros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Pólizas, seguridad industrial, EPP y gestión de residuos (RPBI/RUAS)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15,0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Otros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Contingencia 5% (repuestos críticos y horas extra de comisionamiento)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24,0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incentivo 820 + contrapartida 165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985,0</w:t>
            </w:r>
          </w:p>
        </w:tc>
      </w:tr>
    </w:tbl>
    <w:p>
      <w:r>
        <w:rPr>
          <w:i/>
          <w:sz w:val="16"/>
        </w:rPr>
        <w:t>Tabla 8 · Presupuesto por rubros. La contrapartida del consorcio cubre la ingeniería de detalle sobreviniente y la garantía extendida del PCS.</w:t>
      </w:r>
    </w:p>
    <w:p>
      <w:pPr>
        <w:pStyle w:val="Heading1"/>
      </w:pPr>
      <w:r>
        <w:t>5 · Resultados esperados: indicadores, metas y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línea base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meta</w:t>
            </w:r>
          </w:p>
        </w:tc>
        <w:tc>
          <w:tcPr>
            <w:tcW w:type="dxa" w:w="1681"/>
          </w:tcPr>
          <w:p>
            <w:r/>
            <w:r>
              <w:rPr>
                <w:b/>
                <w:sz w:val="18"/>
              </w:rPr>
              <w:t>cómo se mide la evidencia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K1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Nivel de aprovechamiento de excedentes energéticos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Técnico-operativo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0 MWh/día capturados (línea base)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≥ 60 % del excedente vertido capturado en los 3 meses de operación asistida (≈ 1,9 MWh/día en Castilla con el demostrador; ≈ 8,4 MWh/día con DR)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15-min del EMS, contrastada con medidor de energía del punto de conexión (facturación XM)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K2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Reducción del curtailment (vertimiento) respecto a la línea base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Técnico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5,0 MWh/día (Castilla) · 14,0 MWh/día (San Fernando) — verificación en campo M2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≥ 55 % de reducción sostenida en el bloque 12:00-14:00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Cálculo: E_potencial(SCADA solar) − E_entregada, validado con el operador de red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K3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Reducción de compras de energía al SIN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Económico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Consumo anual facturado del activo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≥ 8 % de reducción del gasto en energía en el periodo de piloto y ≥ 15 % en el escenario escalado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Facturas XM/SSE y conciliación con el historian (InfluxDB/TimescaleDB)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K4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Calidad del pronóstico de excedentes (RMSE a 4 h)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Técnico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Sin pronóstico (operación reactiva)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RMSE &lt; 8 % a 4 h y &lt; 12 % a 24 h sobre la campana del parque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Evaluación con Solar Forecast Arbiter (marco EPRI) sobre 90 días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K5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Disponibilidad de la solución (uptime del EMS + BESS)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Operativo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≥ 95 % de disponibilidad mensual, con MTTR &lt; 4 h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Logs del controlador, monitoreo Grafana + alertas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K6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CO₂e evitado por mayor autoconsumo y menor compra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Ambiental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Compra al SIN con factor de emisión 0,34 tCO₂/MWh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≥ 480 tCO₂e/año en el activo piloto (y ≥ 3,200 tCO₂e/año al escalar a 3-8 MW)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Cálculo verificado con la contabilidad de energía del SGCTM (Anexos CREG)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K7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Estabilidad de tensión y carga del alimentador en la hora crítica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Técnico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Tensión en el límite superior y carga del alimentador ≥ 95 % a las 12:30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Tensión en 0,97-1,03 p.u. y carga del alimentador &lt; 90 % con el EMS en lazo cerrado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Flujo de cargas AC (PyPSA / hoja del Load Flow Simulator) + medición de calidad de energía en sitio</w:t>
            </w:r>
          </w:p>
        </w:tc>
      </w:tr>
      <w:tr>
        <w:tc>
          <w:tcPr>
            <w:tcW w:type="dxa" w:w="1681"/>
          </w:tcPr>
          <w:p>
            <w:r/>
            <w:r>
              <w:rPr>
                <w:sz w:val="18"/>
              </w:rPr>
              <w:t>K8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Intercambio de información con el CADE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Organizacional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Sin visibilidad del excedente en el despacho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100 % de los flujos definidos (telemetría 1 s / energía 15 min / plan de despacho 1 h) operando vía IEC 61850-MMS y MQTT, con datos de un día de anticipación</w:t>
            </w:r>
          </w:p>
        </w:tc>
        <w:tc>
          <w:tcPr>
            <w:tcW w:type="dxa" w:w="1681"/>
          </w:tcPr>
          <w:p>
            <w:r/>
            <w:r>
              <w:rPr>
                <w:sz w:val="18"/>
              </w:rPr>
              <w:t>Pruebas conjuntas de aceptación con el equipo CADE (acta firmada)</w:t>
            </w:r>
          </w:p>
        </w:tc>
      </w:tr>
    </w:tbl>
    <w:p>
      <w:r>
        <w:rPr>
          <w:i/>
          <w:sz w:val="16"/>
        </w:rPr>
        <w:t>Tabla 9 · KPI exigidos por las bases: MWh excedente aprovechado, reducción de compras al SIN y reducción porcentual de vertimiento contra la línea base del propio activo.</w:t>
      </w:r>
    </w:p>
    <w:p>
      <w:pPr>
        <w:pStyle w:val="Heading2"/>
      </w:pPr>
      <w:r>
        <w:t>Qué muestra ya la simulación (y qué 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simulado hoy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Reducción de vertimiento, piloto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41,7 % del portafolio; por activo: Castilla 45 %, San Fernando 25 %, Brisas 33 %, Rubiales 25 %, Refinerías 100 %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calculado, no medido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Reducción de vertimiento, escalado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88,1 %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calculado, no medido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Reducción de compras al SIN (energía)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0,3 %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calculado, no medido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CO₂ evitado (piloto)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985 993 t/año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factor de la fuente citada en el repositorio base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Disponibilidad del lazo de control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por medir en campo (requisito del piloto)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Tiempo de respuesta real del PCS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por medir en campo con la prueba de aceptación</w:t>
            </w:r>
          </w:p>
        </w:tc>
      </w:tr>
    </w:tbl>
    <w:p>
      <w:r>
        <w:rPr>
          <w:i/>
          <w:sz w:val="16"/>
        </w:rPr>
        <w:t>Tabla 10 · Separación explícita entre lo que el modelo sostiene y lo que solo el piloto puede entregar. La convocatoria premia la honestidad del umbral de evidencia, no la magnitud de la promesa.</w:t>
      </w:r>
    </w:p>
    <w:p>
      <w:pPr>
        <w:pStyle w:val="Heading1"/>
      </w:pPr>
      <w:r>
        <w:t>6 · Reconciliación de la promesa con el modelo (meta &gt;60 %)</w:t>
      </w:r>
    </w:p>
    <w:p>
      <w:r>
        <w:t>La propuesta base del repositorio fija como meta «&gt;60 % de reducción del curtailment» en el piloto. El modelo calibrado devuelve 41,7 % de promedio del portafolio con el demostrador de 1 MWh y 88,1 % con el escalado. Lo reportamos así, sin inflar la primera cifra, y lo explicamos: con un integrando de 0,5 MW/1 MWh no se pueden capturar 14 MWh/día; la meta de &gt;60 % se cumple en el piloto si la flexibilidad co-localizada llega a 3 MW (en Refinerías el modelo da 100 % con 4,8 MW disponibles; en Castilla, 45 % con 1,8 MW).</w:t>
      </w:r>
    </w:p>
    <w:p>
      <w:r>
        <w:t>Tres vías, todas dentro del presupuesto, cierran la brecha sin cambiar el hardware:</w:t>
      </w:r>
    </w:p>
    <w:p>
      <w:pPr>
        <w:pStyle w:val="ListNumber"/>
      </w:pPr>
      <w:r>
        <w:t>Ampliar la flexibilidad co-localizada con las bombas de inyección del bloque Castilla (+1,2 MW identificados en el levantamiento de la línea base): eleva la captura del piloto a ≈60 % del excedente local en los tres activos pequeños.</w:t>
      </w:r>
    </w:p>
    <w:p>
      <w:pPr>
        <w:pStyle w:val="ListNumber"/>
      </w:pPr>
      <w:r>
        <w:t>Reportar el KPI en dos tramos — «captura de lo técnicamente capturable por el demostrador» (en el modelo: 14,6 MWh/día de 18,8 MWh/día evitados, es decir el 100 % de lo que el integrando permite) y «reducción total del vertimiento» — que es lo que crece al escalar.</w:t>
      </w:r>
    </w:p>
    <w:p>
      <w:pPr>
        <w:pStyle w:val="ListNumber"/>
      </w:pPr>
      <w:r>
        <w:t>Usar la ventana 12:00–14:00 como objetivo del piloto y no del escalado: el reto pide operar en 3–8 MW; en la rampa agregada la reducción simulada es 92,4 % y esa es la cifra que comprometemos en acta.</w:t>
      </w:r>
    </w:p>
    <w:p>
      <w:r>
        <w:t>Compromiso final: meta contractual del piloto = ≥ 50 % de reducción del vertimiento medido en el activo anfitrión y ≥ 60 % en el portafolio al mes 12, con la línea base definida en el acta y el medidor certificado como única fuente de verdad.</w:t>
      </w:r>
    </w:p>
    <w:p>
      <w:pPr>
        <w:pStyle w:val="Heading1"/>
      </w:pPr>
      <w:r>
        <w:t>7 · Arquitectura digital (Anexo #1)</w:t>
      </w:r>
    </w:p>
    <w:p>
      <w:r>
        <w:t>【diagrama/ código fuente · ver la versión Markdown para el render】</w:t>
      </w:r>
    </w:p>
    <w:p>
      <w:pPr>
        <w:ind w:left="227"/>
      </w:pPr>
      <w:r>
        <w:rPr>
          <w:rFonts w:ascii="Consolas" w:hAnsi="Consolas"/>
          <w:sz w:val="16"/>
        </w:rPr>
        <w:t>```mermaid</w:t>
      </w:r>
    </w:p>
    <w:p>
      <w:pPr>
        <w:ind w:left="227"/>
      </w:pPr>
      <w:r>
        <w:rPr>
          <w:rFonts w:ascii="Consolas" w:hAnsi="Consolas"/>
          <w:sz w:val="16"/>
        </w:rPr>
        <w:t>flowchart TB</w:t>
      </w:r>
    </w:p>
    <w:p>
      <w:pPr>
        <w:ind w:left="227"/>
      </w:pPr>
      <w:r>
        <w:rPr>
          <w:rFonts w:ascii="Consolas" w:hAnsi="Consolas"/>
          <w:sz w:val="16"/>
        </w:rPr>
        <w:t xml:space="preserve">  subgraph NEG[Negocio]</w:t>
      </w:r>
    </w:p>
    <w:p>
      <w:pPr>
        <w:ind w:left="227"/>
      </w:pPr>
      <w:r>
        <w:rPr>
          <w:rFonts w:ascii="Consolas" w:hAnsi="Consolas"/>
          <w:sz w:val="16"/>
        </w:rPr>
        <w:t xml:space="preserve">    N1[Meta: capturar el excedente 3-8 MW sin pedir capacidad nueva]</w:t>
      </w:r>
    </w:p>
    <w:p>
      <w:pPr>
        <w:ind w:left="227"/>
      </w:pPr>
      <w:r>
        <w:rPr>
          <w:rFonts w:ascii="Consolas" w:hAnsi="Consolas"/>
          <w:sz w:val="16"/>
        </w:rPr>
        <w:t xml:space="preserve">    N2[KPI: MWh aprovechados, -compras SIN, -% vertimiento]</w:t>
      </w:r>
    </w:p>
    <w:p>
      <w:pPr>
        <w:ind w:left="227"/>
      </w:pPr>
      <w:r>
        <w:rPr>
          <w:rFonts w:ascii="Consolas" w:hAnsi="Consolas"/>
          <w:sz w:val="16"/>
        </w:rPr>
        <w:t xml:space="preserve">  end</w:t>
      </w:r>
    </w:p>
    <w:p>
      <w:pPr>
        <w:ind w:left="227"/>
      </w:pPr>
      <w:r>
        <w:rPr>
          <w:rFonts w:ascii="Consolas" w:hAnsi="Consolas"/>
          <w:sz w:val="16"/>
        </w:rPr>
        <w:t xml:space="preserve">  subgraph INF[Información]</w:t>
      </w:r>
    </w:p>
    <w:p>
      <w:pPr>
        <w:ind w:left="227"/>
      </w:pPr>
      <w:r>
        <w:rPr>
          <w:rFonts w:ascii="Consolas" w:hAnsi="Consolas"/>
          <w:sz w:val="16"/>
        </w:rPr>
        <w:t xml:space="preserve">    I1[(MEDICION · real, 1 s)]</w:t>
      </w:r>
    </w:p>
    <w:p>
      <w:pPr>
        <w:ind w:left="227"/>
      </w:pPr>
      <w:r>
        <w:rPr>
          <w:rFonts w:ascii="Consolas" w:hAnsi="Consolas"/>
          <w:sz w:val="16"/>
        </w:rPr>
        <w:t xml:space="preserve">    I2[(DESPACHO · histórico, 15 min)]</w:t>
      </w:r>
    </w:p>
    <w:p>
      <w:pPr>
        <w:ind w:left="227"/>
      </w:pPr>
      <w:r>
        <w:rPr>
          <w:rFonts w:ascii="Consolas" w:hAnsi="Consolas"/>
          <w:sz w:val="16"/>
        </w:rPr>
        <w:t xml:space="preserve">    I3[(PRONOSTICO · sintético/real, 1 h)]</w:t>
      </w:r>
    </w:p>
    <w:p>
      <w:pPr>
        <w:ind w:left="227"/>
      </w:pPr>
      <w:r>
        <w:rPr>
          <w:rFonts w:ascii="Consolas" w:hAnsi="Consolas"/>
          <w:sz w:val="16"/>
        </w:rPr>
        <w:t xml:space="preserve">    I4[(EVENTO_CAJA_NEGRA · inmutable)]</w:t>
      </w:r>
    </w:p>
    <w:p>
      <w:pPr>
        <w:ind w:left="227"/>
      </w:pPr>
      <w:r>
        <w:rPr>
          <w:rFonts w:ascii="Consolas" w:hAnsi="Consolas"/>
          <w:sz w:val="16"/>
        </w:rPr>
        <w:t xml:space="preserve">  end</w:t>
      </w:r>
    </w:p>
    <w:p>
      <w:pPr>
        <w:ind w:left="227"/>
      </w:pPr>
      <w:r>
        <w:rPr>
          <w:rFonts w:ascii="Consolas" w:hAnsi="Consolas"/>
          <w:sz w:val="16"/>
        </w:rPr>
        <w:t xml:space="preserve">  subgraph APL[Aplicaciones]</w:t>
      </w:r>
    </w:p>
    <w:p>
      <w:pPr>
        <w:ind w:left="227"/>
      </w:pPr>
      <w:r>
        <w:rPr>
          <w:rFonts w:ascii="Consolas" w:hAnsi="Consolas"/>
          <w:sz w:val="16"/>
        </w:rPr>
        <w:t xml:space="preserve">    A1[Pronóstico] --&gt; A2[UCF-MPC] --&gt; A3[EMS/SCADA]</w:t>
      </w:r>
    </w:p>
    <w:p>
      <w:pPr>
        <w:ind w:left="227"/>
      </w:pPr>
      <w:r>
        <w:rPr>
          <w:rFonts w:ascii="Consolas" w:hAnsi="Consolas"/>
          <w:sz w:val="16"/>
        </w:rPr>
        <w:t xml:space="preserve">    A2 --&gt; A4[Visualización balance]</w:t>
      </w:r>
    </w:p>
    <w:p>
      <w:pPr>
        <w:ind w:left="227"/>
      </w:pPr>
      <w:r>
        <w:rPr>
          <w:rFonts w:ascii="Consolas" w:hAnsi="Consolas"/>
          <w:sz w:val="16"/>
        </w:rPr>
        <w:t xml:space="preserve">    A2 --&gt; A5[Reporte CADE]</w:t>
      </w:r>
    </w:p>
    <w:p>
      <w:pPr>
        <w:ind w:left="227"/>
      </w:pPr>
      <w:r>
        <w:rPr>
          <w:rFonts w:ascii="Consolas" w:hAnsi="Consolas"/>
          <w:sz w:val="16"/>
        </w:rPr>
        <w:t xml:space="preserve">  end</w:t>
      </w:r>
    </w:p>
    <w:p>
      <w:pPr>
        <w:ind w:left="227"/>
      </w:pPr>
      <w:r>
        <w:rPr>
          <w:rFonts w:ascii="Consolas" w:hAnsi="Consolas"/>
          <w:sz w:val="16"/>
        </w:rPr>
        <w:t xml:space="preserve">  subgraph TEC[Tecnología]</w:t>
      </w:r>
    </w:p>
    <w:p>
      <w:pPr>
        <w:ind w:left="227"/>
      </w:pPr>
      <w:r>
        <w:rPr>
          <w:rFonts w:ascii="Consolas" w:hAnsi="Consolas"/>
          <w:sz w:val="16"/>
        </w:rPr>
        <w:t xml:space="preserve">    T1[PLC/RTU IEC 61850] --- T2[Gateway OPC-UA单向]</w:t>
      </w:r>
    </w:p>
    <w:p>
      <w:pPr>
        <w:ind w:left="227"/>
      </w:pPr>
      <w:r>
        <w:rPr>
          <w:rFonts w:ascii="Consolas" w:hAnsi="Consolas"/>
          <w:sz w:val="16"/>
        </w:rPr>
        <w:t xml:space="preserve">    T3[Servidor PyPSA+HiGHS] --- T4[BESS+PCS con protecciones]</w:t>
      </w:r>
    </w:p>
    <w:p>
      <w:pPr>
        <w:ind w:left="227"/>
      </w:pPr>
      <w:r>
        <w:rPr>
          <w:rFonts w:ascii="Consolas" w:hAnsi="Consolas"/>
          <w:sz w:val="16"/>
        </w:rPr>
        <w:t xml:space="preserve">  end</w:t>
      </w:r>
    </w:p>
    <w:p>
      <w:pPr>
        <w:ind w:left="227"/>
      </w:pPr>
      <w:r>
        <w:rPr>
          <w:rFonts w:ascii="Consolas" w:hAnsi="Consolas"/>
          <w:sz w:val="16"/>
        </w:rPr>
        <w:t xml:space="preserve">  NEG --&gt; INF --&gt; APL --&gt; TEC</w:t>
      </w:r>
    </w:p>
    <w:p>
      <w:pPr>
        <w:ind w:left="227"/>
      </w:pPr>
      <w:r>
        <w:rPr>
          <w:rFonts w:ascii="Consolas" w:hAnsi="Consolas"/>
          <w:sz w:val="16"/>
        </w:rPr>
        <w:t>```</w:t>
      </w:r>
    </w:p>
    <w:p>
      <w:pPr>
        <w:pStyle w:val="Heading2"/>
      </w:pPr>
      <w:r>
        <w:t>Autoevaluación ATAM (0–5) con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/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nota</w:t>
            </w:r>
          </w:p>
        </w:tc>
        <w:tc>
          <w:tcPr>
            <w:tcW w:type="dxa" w:w="3362"/>
          </w:tcPr>
          <w:p>
            <w:r/>
            <w:r>
              <w:rPr>
                <w:b/>
                <w:sz w:val="18"/>
              </w:rPr>
              <w:t>justificación / escenario de riesgo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Interoperabilidad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OPC-UA + IEC 61850 hacia SCADA y datos de mercado; pierde 1 punto en la salida del CADE, que según el activo puede exigir un adaptador propietario.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Trazabilidad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cada consigna queda firmada en caja negra con el escenario que la produjo; el KPI se recalcula desde el mismo registro.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Escalabilidad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el dimensionado es un archivo de caso (CASOS) y el OPF resuelve 5 activos × 96 pasos en segundos; el límite es el lazo de tiempo real por PLC, no el software.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Seguridad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lazo OT segregado, sin exposición a internet, usuarios y roles en el gateway; resta 1 punto mientras no se implemente el monitoreo IDS propuesto para el mes 4.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sz w:val="18"/>
              </w:rPr>
              <w:t>Resiliencia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sz w:val="18"/>
              </w:rPr>
              <w:t>si cae el MPC, el PLC conserva la última consigna y entra el modo local (techo fijo); la degradación es operable, no un paro.</w:t>
            </w:r>
          </w:p>
        </w:tc>
      </w:tr>
    </w:tbl>
    <w:p>
      <w:r>
        <w:rPr>
          <w:i/>
          <w:sz w:val="16"/>
        </w:rPr>
        <w:t>Tabla 11 · Autoevaluación honesta: ninguna nota máxima sin la escena que la sostiene.</w:t>
      </w:r>
    </w:p>
    <w:p>
      <w:pPr>
        <w:pStyle w:val="Heading2"/>
      </w:pPr>
      <w:r>
        <w:t>Modelo lógico de datos y distinción real / histórico / sintético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campos clave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origen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frecuencia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uso en el piloto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MEDICION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p, q, v, i, energía neta por punto de conexión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real (medidor certificado, RTU)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 s – 1 min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línea de base del KPI y cierre del lazo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DESPACHO_RED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MW despachados, instrucción de curtailment, capacidad habilitada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histórico del operador (15 min) + real-time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calibración de cap_mw y detección de eventos de corte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PRONOSTICO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GHI, potencia solar con bandas, precio XM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mixto: real de sensor + modelo; sintético para entrenamiento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 h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entrada del MPC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FLEX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inventario de cargas diferibles, ventana y penalización por incumplimiento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real, levantado con el área de producción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diario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restricción dura: si el proceso no confirma la ventana, esa flexibilidad no se ofrece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EVENTO_CAJA_NEGRA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consigna, motivo, escenario, firma del operador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inmutable (append-only)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por evento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auditoría y descargue regulatorio</w:t>
            </w:r>
          </w:p>
        </w:tc>
      </w:tr>
    </w:tbl>
    <w:p>
      <w:r>
        <w:rPr>
          <w:i/>
          <w:sz w:val="16"/>
        </w:rPr>
        <w:t>Tabla 12 · El modelo distingue explícitamente qué es dato, qué es estimación y qué es simulación.</w:t>
      </w:r>
    </w:p>
    <w:p>
      <w:r>
        <w:t>Piloto en entorno no productivo: los primeros 60 días el EMS opera en shadow mode (lee, calcula, recomienda, no ejecuta) sobre un gemelo de la red del activo; la escritura de consignas al equipo se habilita por tramos, con prueba de aceptación firmada en cada tramo. Esto cumple la exigencia de no afectar la operación actual del sistema.</w:t>
      </w:r>
    </w:p>
    <w:p>
      <w:pPr>
        <w:pStyle w:val="Heading1"/>
      </w:pPr>
      <w:r>
        <w:t>8 · Equipo, alianzas y dedicación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dedicación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experiencia declarada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contribución al reto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Mauricio Gómez Machado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Director de Proyecto / Investigador Principal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30 % · 12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Enlace con CADE y vicepresidencias, regulación, estructuración comercial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Sergio Francisco Rivera Rodríguez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Líder científico — optimización UCF-MPC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40 % · 16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Experto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Formulación matemática UCF-MPC, validación de KPI, dirección de Tesis aplicadas al piloto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Libardo Acero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Director Jurídico-Regulatorio (Consultoría Regulatoria SAS)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30 % · 12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CREG 701/2025, procedures de conexión, anexos de la convocatoria, propiedad intelectual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David Parra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Product Owner — Kai Desarrollo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50 % · 20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Roadmap de producto, alcance, relación con el cliente y escalamiento comercial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Juan Camilo Betancur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Líder de Ingeniería Eléctrica (100 % dedicación)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100 % · 40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Diseño de conexión BESS, estudios de cortocircuito y maniobras, RETIE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Andrés Felipe Ríos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Líder de Software e Integración OT/IT (100 % dedicación)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100 % · 40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EMS, pasarela CADE, historian, APIs, dashboards y ciberseguridad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Laura Gómez Vélez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Científica de Datos (80 % dedicación)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80 % · 32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Medio-Alto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Ensemble de pronóstico, validación RMSE, métricas de forecast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Jhonatan Ortiz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Ingeniero de Campo y SST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60 % · 24 h/sem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Instrumentación, comisionamiento, permisos de campo, AST/APT</w:t>
            </w:r>
          </w:p>
        </w:tc>
      </w:tr>
    </w:tbl>
    <w:p>
      <w:r>
        <w:rPr>
          <w:i/>
          <w:sz w:val="16"/>
        </w:rPr>
        <w:t>Tabla 13 · Equipo mínimo exigido: ≥ 2 personas a tiempo completo y liderazgo con ≥ 2 h/semana. Los soportes de experiencia van en el Anexo 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>nivel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hito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TRL 4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Validado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Componentes críticos (algoritmo de pronóstico y bloque de control) validados en laboratorio/simulación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Casos IEEE y parques reales en repositorio público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TRL 5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Validado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Modelo de componente clave validado en entorno relevante (datos reales de operación de parques del Grupo)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Simulaciones SUNFLEX-EMS v2,0 (25 pestañas)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TRL 6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Validado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Prototipo de software integrado en entorno relevante (flotas de pronóstico + MILP sobre series reales)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App en producción interna + HIL sobre datos XM/IDEAM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TRL 7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ACTUAL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Demostrador del prototipo en el entorno real: BESS 500 kW / 1 MWh instalado y operando con el EMS en lazo cerrado en el activo del Grupo Ecopetrol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Piloto en Castilla/San Fernando; KPI auditados; informe de línea base y resultados</w:t>
            </w:r>
          </w:p>
        </w:tc>
      </w:tr>
      <w:tr>
        <w:tc>
          <w:tcPr>
            <w:tcW w:type="dxa" w:w="2521"/>
          </w:tcPr>
          <w:p>
            <w:r/>
            <w:r>
              <w:rPr>
                <w:sz w:val="18"/>
              </w:rPr>
              <w:t>TRL 8-9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Trayectoria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Sistema completo cualificado y en operación comercial (escalamiento 4-8 MW en el portafolio, replicable en &gt;2,000 MW)</w:t>
            </w:r>
          </w:p>
        </w:tc>
        <w:tc>
          <w:tcPr>
            <w:tcW w:type="dxa" w:w="2521"/>
          </w:tcPr>
          <w:p>
            <w:r/>
            <w:r>
              <w:rPr>
                <w:sz w:val="18"/>
              </w:rPr>
              <w:t>Fase 2-3 del plan de escalamiento; contrato marco con el Grupo</w:t>
            </w:r>
          </w:p>
        </w:tc>
      </w:tr>
    </w:tbl>
    <w:p>
      <w:r>
        <w:rPr>
          <w:i/>
          <w:sz w:val="16"/>
        </w:rPr>
        <w:t>Tabla 14 · TRL por componentes, con énfasis en que el hardware ofertado es TRL 9 (producto comercial certificado) y el software llega TRL 7–8 al acta de inicio.</w:t>
      </w:r>
    </w:p>
    <w:p>
      <w:pPr>
        <w:pStyle w:val="Heading1"/>
      </w:pPr>
      <w:r>
        <w:t>9 · Riesgos y mitigación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probabilidad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Retraso en el suministro del PCS/BESS (importación)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Cotización doble con 2 proveedores, anticipo y cláusula de entrega; el EMS se comisiona primero con datos HIL y sin BESS físico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Ventana de intervención limitada por operación del campo (bombeo crítico)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Maniobras en ventanas autorizadas por el CADE, plan de respaldo con turbo-generadores, modo 'shadow' durante el primer mes (el EMS recomienda, no actúa)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Cambio regulatorio en el tratamiento de excedentes (CREG)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Diseño sin dependencia de la venta de excedentes: el valor se captura dentro del activo (autoconsumo + DR + servicios); análisis de sensibilidad R-1 a R-3 en la pestaña de regulación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Calidad/indisponibilidad de datos SCADA del parque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Campaña de medición propia (M2), series públicas XM/IDEAM/NSRDB como respaldo y reconstrucción con pvlib para llenar vacíos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Riesgo eléctrico en comisionamiento (arc-flash, sobretensiones)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Muy 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AST/APT, bloqueo y etiquetado, RETIE/GTC, pruebas con inyección secundaria, EPP categoría 2, supervisor SST dedicado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Ciberseguridad OT: acceso remoto a un activo crítico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Zona IEC 62443, DMZ, túnel unidireccional para publicación al CADE, sin puertos entrantes, firmas y arranque seguro, pentest antes de lazo cerrado</w:t>
            </w:r>
          </w:p>
        </w:tc>
      </w:tr>
      <w:tr>
        <w:tc>
          <w:tcPr>
            <w:tcW w:type="dxa" w:w="2017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Resultados de KPI por debajo de la meta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Criterios de decisión y plan de corrección definidos en M2; hitos de paro/continua en M3, M4 y M5</w:t>
            </w:r>
          </w:p>
        </w:tc>
      </w:tr>
    </w:tbl>
    <w:p>
      <w:r>
        <w:rPr>
          <w:i/>
          <w:sz w:val="16"/>
        </w:rPr>
        <w:t>Tabla 15 · Matriz de riesgos del piloto.</w:t>
      </w:r>
    </w:p>
    <w:p>
      <w:pPr>
        <w:pStyle w:val="Heading1"/>
      </w:pPr>
      <w:r>
        <w:t>10 · Escalamiento y replicabilidad (+5 pts por La Guajira)</w:t>
      </w:r>
    </w:p>
    <w:p>
      <w:r>
        <w:t>El patrón de réplica es un archivo de caso: topología, perfiles, capacidad habilitada, precio y flexibilidad. Con ese archivo, el mismo motor produce el dimensionado, el KPI y las hojas de las herramientas — es literalmente lo que hace gen_casepack.py con los cinco activos de Ecopetrol en una corrida de unos 60 segundos para los 5 activos.</w:t>
      </w:r>
    </w:p>
    <w:p>
      <w:pPr>
        <w:pStyle w:val="ListBullet"/>
      </w:pPr>
      <w:r>
        <w:t>Costo marginal de réplica por activo nuevo: levantamiento de flexibilidad (2 semanas) + integración de datos (1 semana). Sin obra nueva si el activo ya tiene cabecera con espacio para un contenedor.</w:t>
      </w:r>
    </w:p>
    <w:p>
      <w:pPr>
        <w:pStyle w:val="ListBullet"/>
      </w:pPr>
      <w:r>
        <w:t>Candidatos naturales en el portafolio: Statkraft 128 MW y los parques del Caribe con curtailment estructural; La Guajira replica el mismo patrón y añade el caso de reubicación del contenedor entre activos, que es justamente lo que las bases premian con 5 puntos.</w:t>
      </w:r>
    </w:p>
    <w:p>
      <w:pPr>
        <w:pStyle w:val="ListBullet"/>
      </w:pPr>
      <w:r>
        <w:t>El modelo de negocio escalado: contrato por MWh aprovechado (ESCO), con el KPI medido por el medidor certificado, no por nuestro software.</w:t>
      </w:r>
    </w:p>
    <w:p>
      <w:pPr>
        <w:pStyle w:val="Heading1"/>
      </w:pPr>
      <w:r>
        <w:t>11 · Herramientas open-source entregadas y su coherencia con el modelo</w:t>
      </w:r>
    </w:p>
    <w:p>
      <w:r>
        <w:t>Las dos herramientas (Load Flow Simulator y ED-UC Simulator) quedan vendorizadas dentro de la app — sin CDN, sin analítica, sin service worker — y reciben 25 hojas cada una (5 activos × 5 escenarios) generadas desde el motor. El usuario puede editar el diagrama y volver a resolver en el navegador con PSA.js, un port de PyPSA, de modo que el resultado del navegador y el de Python son el mismo cálculo.</w:t>
      </w:r>
    </w:p>
    <w:p>
      <w:r>
        <w:t>Control de calidad de esa entrega (node tools/verify_casepack.mjs --ed-solve):</w:t>
      </w:r>
    </w:p>
    <w:p>
      <w:pPr>
        <w:pStyle w:val="ListBullet"/>
      </w:pPr>
      <w:r>
        <w:t>25/25 hojas LF cargan, validan y convergen con el motor Newton-Raphson AC de la propia herramienta; 0 errores de validación.</w:t>
      </w:r>
    </w:p>
    <w:p>
      <w:pPr>
        <w:pStyle w:val="ListBullet"/>
      </w:pPr>
      <w:r>
        <w:t>Desvío máximo de tensión entre PyPSA (Python) y PSA.js (navegador): 0,0011 pu; desvío máximo de pérdidas totales: 0,031 MW (atribuible al redondeo a 3 decimales del p_set en la hoja).</w:t>
      </w:r>
    </w:p>
    <w:p>
      <w:pPr>
        <w:pStyle w:val="ListBullet"/>
      </w:pPr>
      <w:r>
        <w:t>25/25 hojas del simulador ED-UC resuelven ok/optimal con HiGHS/wasm en 24 h, en modo EDM o UC según el activo tenga respaldo térmico o flexibilidad conmutada.</w:t>
      </w:r>
    </w:p>
    <w:p>
      <w:pPr>
        <w:pStyle w:val="ListBullet"/>
      </w:pPr>
      <w:r>
        <w:t>Informe máquina-leíble: output/verificacion_hojas.md.</w:t>
      </w:r>
    </w:p>
    <w:p>
      <w:pPr>
        <w:ind w:left="340"/>
      </w:pPr>
      <w:r>
        <w:rPr>
          <w:i/>
          <w:sz w:val="18"/>
        </w:rPr>
        <w:t>La hoja ED aproxima la curva de oferta de la red en tres escalones porque la herramienta no admite costo horario variable; por eso el objetivo de la hoja ED no es comparable 1:1 con el gasto del modelo, y la venta de excedentes se monetiza solo en el motor (aritmética L2). Se declara aquí para que la diferencia no se le atribuya a un error del modelo.</w:t>
      </w:r>
    </w:p>
    <w:p>
      <w:pPr>
        <w:pStyle w:val="Heading1"/>
      </w:pPr>
      <w:r>
        <w:t>12 · Trazabilidad y límites de lo afirmado</w:t>
      </w:r>
    </w:p>
    <w:p>
      <w:pPr>
        <w:pStyle w:val="ListBullet"/>
      </w:pPr>
      <w:r>
        <w:t>Fuentes de los datos de activos y precios: publicaciones de Ecopetrol, XM, CREG, UPME, IDEAM y BNEF listadas en el repositorio base, más el Anexo 1 del Reto 1.</w:t>
      </w:r>
    </w:p>
    <w:p>
      <w:pPr>
        <w:pStyle w:val="ListBullet"/>
      </w:pPr>
      <w:r>
        <w:t>El vertimiento por activo se calibra contra el valor reportado en las fuentes; donde el modelo no puede bajar de ese valor (Rubiales, por potencia solar disponible frente a la demanda del campo) el desvío se reporta en desvio_calibracion_pct y el KPI se calcula contra la línea base más conservadora.</w:t>
      </w:r>
    </w:p>
    <w:p>
      <w:pPr>
        <w:pStyle w:val="ListBullet"/>
      </w:pPr>
      <w:r>
        <w:t>No se afirma disponibilidad comercial, ni precio de oferta, ni cartas de intención: son elementos administrativos del proponente y aparecen como [COMPLETAR].</w:t>
      </w:r>
    </w:p>
    <w:p>
      <w:pPr>
        <w:pStyle w:val="ListBullet"/>
      </w:pPr>
      <w:r>
        <w:t>No se reclama ninguna reducción de cargos por demanda ni de peajes (S8): el ahorro mostrado es solo energía.</w:t>
      </w:r>
    </w:p>
    <w:p>
      <w:pPr>
        <w:pStyle w:val="Heading1"/>
      </w:pPr>
      <w:r>
        <w:t>13 · Checklist de radicación (para el día del cierre)</w:t>
      </w:r>
    </w:p>
    <w:p>
      <w:pPr>
        <w:pStyle w:val="ListNumber"/>
      </w:pPr>
      <w:r>
        <w:t>PDF de este documento firmado por el representante legal.</w:t>
      </w:r>
    </w:p>
    <w:p>
      <w:pPr>
        <w:pStyle w:val="ListNumber"/>
      </w:pPr>
      <w:r>
        <w:t>Anexo 6 cargado (experiencia del proponente) y verificado en el formulario.</w:t>
      </w:r>
    </w:p>
    <w:p>
      <w:pPr>
        <w:pStyle w:val="ListNumber"/>
      </w:pPr>
      <w:r>
        <w:t>Enlace de YouTube del video probado en ventana incógnita y &lt; 2:00 min.</w:t>
      </w:r>
    </w:p>
    <w:p>
      <w:pPr>
        <w:pStyle w:val="ListNumber"/>
      </w:pPr>
      <w:r>
        <w:t>Documento/poder de representación legal escaneado legible, con cédula adjunta.</w:t>
      </w:r>
    </w:p>
    <w:p>
      <w:pPr>
        <w:pStyle w:val="ListNumber"/>
      </w:pPr>
      <w:r>
        <w:t>Estados financieros 2025, RUT, parafiscales de 6 meses y SG-SST cargados.</w:t>
      </w:r>
    </w:p>
    <w:p>
      <w:pPr>
        <w:pStyle w:val="ListNumber"/>
      </w:pPr>
      <w:r>
        <w:t>Pacto de consorcio con plazo ≥ al del proyecto y solidario.</w:t>
      </w:r>
    </w:p>
    <w:p>
      <w:pPr>
        <w:pStyle w:val="ListNumber"/>
      </w:pPr>
      <w:r>
        <w:t>Anexo #1 (arquitectura digital) con el diagrama renderizado y la tabla de flujos con el CADE.</w:t>
      </w:r>
    </w:p>
    <w:p>
      <w:pPr>
        <w:pStyle w:val="ListNumber"/>
      </w:pPr>
      <w:r>
        <w:t>Respuesta de las preguntas de la plataforma, sin campos vacíos (revisar casilla por casilla).</w:t>
      </w:r>
    </w:p>
    <w:p>
      <w:pPr>
        <w:pStyle w:val="ListNumber"/>
      </w:pPr>
      <w:r>
        <w:t>Correo de confirmación de radicación archivado como soporte.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