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CONTRATO PARTICULAR DE COMPRA E VENDA DE SAFRA AGRÍCOLA</w:t>
      </w:r>
    </w:p>
    <w:p>
      <w:pPr>
        <w:spacing w:after="400"/>
        <w:jc w:val="center"/>
      </w:pPr>
      <w:r>
        <w:rPr>
          <w:color w:val="71717A"/>
          <w:sz w:val="20"/>
          <w:szCs w:val="20"/>
        </w:rPr>
        <w:t xml:space="preserve">Contrato nº {{contrato_id}}</w:t>
      </w:r>
    </w:p>
    <w:p>
      <w:pPr>
        <w:spacing w:after="240"/>
        <w:jc w:val="both"/>
      </w:pPr>
      <w:r>
        <w:t xml:space="preserve">Pelo presente instrumento particular de compra e venda de safra agrícola, de um lado {{vendedor_nome}}, portador(a) do CPF/CNPJ nº {{vendedor_documento}}, residente e domiciliado(a) em {{vendedor_endereco}}, telefone de contato {{vendedor_contato}}, doravante denominado(a) simplesmente VENDEDOR(A), e de outro lado {{comprador_nome}}, portador(a) do CPF/CNPJ nº {{comprador_documento}}, telefone de contato {{comprador_contato}}, doravante denominado(a) simplesmente COMPRADOR(A), têm entre si justo e acordado o presente contrato, que se regerá pelas cláusulas seguintes:</w:t>
      </w:r>
    </w:p>
    <w:p>
      <w:pPr>
        <w:spacing w:after="240"/>
        <w:jc w:val="both"/>
      </w:pPr>
      <w:r>
        <w:rPr>
          <w:b/>
          <w:bCs/>
        </w:rPr>
        <w:t xml:space="preserve">CLÁUSULA PRIMEIRA – DO OBJETO. </w:t>
      </w:r>
      <w:r>
        <w:t xml:space="preserve">O presente contrato tem por objeto a compra e venda da safra de {{cultura}}, na quantidade de {{quantidade}}, medida em {{unidade_medida}}, observadas as seguintes condições de qualidade: {{observacoes_qualidade}}.</w:t>
      </w:r>
    </w:p>
    <w:p>
      <w:pPr>
        <w:spacing w:after="240"/>
        <w:jc w:val="both"/>
      </w:pPr>
      <w:r>
        <w:rPr>
          <w:b/>
          <w:bCs/>
        </w:rPr>
        <w:t xml:space="preserve">CLÁUSULA SEGUNDA – DO PREÇO E DA FORMA DE PAGAMENTO. </w:t>
      </w:r>
      <w:r>
        <w:t xml:space="preserve">Pela mercadoria descrita na Cláusula Primeira, o(a) COMPRADOR(A) pagará ao(à) VENDEDOR(A) o valor unitário de {{valor_unitario}}, totalizando o valor de {{valor_total}}, calculado com base na quantidade e no valor unitário aqui acordados. O pagamento será realizado da seguinte forma: {{forma_pagamento}}, com prazo de {{prazo_pagamento}}.</w:t>
      </w:r>
    </w:p>
    <w:p>
      <w:pPr>
        <w:spacing w:after="240"/>
        <w:jc w:val="both"/>
      </w:pPr>
      <w:r>
        <w:rPr>
          <w:b/>
          <w:bCs/>
        </w:rPr>
        <w:t xml:space="preserve">CLÁUSULA TERCEIRA – DA ENTREGA. </w:t>
      </w:r>
      <w:r>
        <w:t xml:space="preserve">A entrega da mercadoria deverá ocorrer até {{data_entrega}}, no seguinte local: {{local_entrega}}, salvo se as partes acordarem, por escrito, data ou local distintos.</w:t>
      </w:r>
    </w:p>
    <w:p>
      <w:pPr>
        <w:spacing w:after="240"/>
        <w:jc w:val="both"/>
      </w:pPr>
      <w:r>
        <w:rPr>
          <w:b/>
          <w:bCs/>
        </w:rPr>
        <w:t xml:space="preserve">CLÁUSULA QUARTA – DA VALIDADE E DAS DISPOSIÇÕES GERAIS. </w:t>
      </w:r>
      <w:r>
        <w:t xml:space="preserve">O presente contrato é celebrado em caráter particular, entre partes juridicamente capazes, e tem validade a partir da assinatura de ambas, independentemente de registro em cartório, nos termos da legislação civil aplicável à venda de bens móveis. Eventuais divergências relacionadas à quantidade, qualidade ou condições de pagamento deverão ser resolvidas amigavelmente entre as partes antes de qualquer medida judicial. O não cumprimento das obrigações aqui previstas sujeitará a parte inadimplente às penalidades previstas na legislação civil vigente.</w:t>
      </w:r>
    </w:p>
    <w:p>
      <w:pPr>
        <w:spacing w:after="240"/>
        <w:jc w:val="both"/>
      </w:pPr>
      <w:r>
        <w:rPr>
          <w:b/>
          <w:bCs/>
        </w:rPr>
        <w:t xml:space="preserve">CLÁUSULA QUINTA – DO FORO. </w:t>
      </w:r>
      <w:r>
        <w:t xml:space="preserve">Fica eleito o foro da comarca de {{foro_comarca}} para dirimir quaisquer dúvidas oriundas do presente contrato, com renúncia expressa a qualquer outro, por mais privilegiado que seja.</w:t>
      </w:r>
    </w:p>
    <w:p>
      <w:pPr>
        <w:spacing w:after="240"/>
        <w:jc w:val="both"/>
      </w:pPr>
      <w:r>
        <w:rPr>
          <w:b/>
          <w:bCs/>
        </w:rPr>
        <w:t xml:space="preserve">CLÁUSULA SEXTA – DA VERIFICAÇÃO DE INTEGRIDADE DO DOCUMENTO. </w:t>
      </w:r>
      <w:r>
        <w:t xml:space="preserve">Este documento foi gerado eletronicamente em {{data_geracao}} e confirmado digitalmente pelo(a) COMPRADOR(A) em {{data_confirmacao}}, sob o código de verificação {{codigo_verificacao}}, o qual comprova que o conteúdo aqui descrito corresponde ao que foi confirmado por ambas as partes através da plataforma, não substituindo, contudo, a assinatura ou o reconhecimento de firma.</w:t>
      </w:r>
    </w:p>
    <w:p>
      <w:pPr>
        <w:spacing w:after="240"/>
        <w:jc w:val="both"/>
      </w:pPr>
      <w:r>
        <w:t xml:space="preserve">E por estarem assim justos e contratados, as partes assinam o presente instrumento em duas vias de igual teor e forma, na presença das testemunhas abaixo, devendo a assinatura ser realizada fisicamente, com testemunhas, ou digitalmente por meio de plataforma de assinatura eletrônica reconhecida (ex.: gov.br), conforme escolha das partes, uma vez que este documento não realiza a coleta de assinatura dentro do aplicativo.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700"/>
            </w:pPr>
          </w:p>
          <w:p>
            <w:pPr>
              <w:pBdr>
                <w:top w:val="single" w:color="18181B" w:sz="6" w:space="4"/>
              </w:pBdr>
              <w:spacing w:before="100"/>
            </w:pPr>
            <w:r>
              <w:t xml:space="preserve">Assinatura do(a) VENDEDOR(A)</w:t>
            </w:r>
          </w:p>
          <w:p>
            <w:r>
              <w:rPr>
                <w:i/>
                <w:iCs/>
                <w:color w:val="71717A"/>
              </w:rPr>
              <w:t xml:space="preserve">{{vendedor_nome}}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700"/>
            </w:pPr>
          </w:p>
          <w:p>
            <w:pPr>
              <w:pBdr>
                <w:top w:val="single" w:color="18181B" w:sz="6" w:space="4"/>
              </w:pBdr>
              <w:spacing w:before="100"/>
            </w:pPr>
            <w:r>
              <w:t xml:space="preserve">Assinatura do(a) COMPRADOR(A)</w:t>
            </w:r>
          </w:p>
          <w:p>
            <w:r>
              <w:rPr>
                <w:i/>
                <w:iCs/>
                <w:color w:val="71717A"/>
              </w:rPr>
              <w:t xml:space="preserve">{{comprador_nome}}</w:t>
            </w:r>
          </w:p>
        </w:tc>
      </w:tr>
    </w:tbl>
    <w:p>
      <w:pPr>
        <w:spacing w:before="500"/>
      </w:pPr>
    </w:p>
    <w:p>
      <w:pPr>
        <w:spacing w:after="240"/>
        <w:jc w:val="both"/>
      </w:pPr>
      <w:r>
        <w:rPr>
          <w:sz w:val="20"/>
          <w:szCs w:val="20"/>
        </w:rPr>
        <w:t xml:space="preserve">Testemunha 1: _________________________________  CPF: _______________</w:t>
      </w:r>
    </w:p>
    <w:p>
      <w:pPr>
        <w:spacing w:after="240"/>
        <w:jc w:val="both"/>
      </w:pPr>
      <w:r>
        <w:rPr>
          <w:sz w:val="20"/>
          <w:szCs w:val="20"/>
        </w:rPr>
        <w:t xml:space="preserve">Testemunha 2: _________________________________  CPF: _______________</w:t>
      </w:r>
    </w:p>
    <w:p>
      <w:pPr>
        <w:spacing w:before="300"/>
      </w:pPr>
      <w:r>
        <w:rPr>
          <w:i/>
          <w:iCs/>
          <w:color w:val="71717A"/>
          <w:sz w:val="18"/>
          <w:szCs w:val="18"/>
        </w:rPr>
        <w:t xml:space="preserve">Documento gerado eletronicamente pela plataforma Contrato de Safra. Este modelo é uma base geral e não substitui orientação jurídica específica para casos que exijam maior complexidade ou valores elevados.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2026-08-02T16:27:00.084Z</dcterms:created>
  <dcterms:modified xsi:type="dcterms:W3CDTF">2026-08-02T16:27:00.097Z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