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right"/>
      </w:pPr>
      <w:r>
        <w:rPr>
          <w:rFonts w:ascii="Times New Roman" w:hAnsi="Times New Roman"/>
          <w:b w:val="0"/>
          <w:i w:val="0"/>
          <w:color w:val="5E6C7B"/>
          <w:sz w:val="17"/>
        </w:rPr>
        <w:t>20 June 2026</w:t>
      </w:r>
    </w:p>
    <w:p>
      <w:pPr>
        <w:spacing w:before="0" w:after="40" w:line="240" w:lineRule="auto"/>
      </w:pPr>
      <w:r>
        <w:rPr>
          <w:rFonts w:ascii="Times New Roman" w:hAnsi="Times New Roman"/>
          <w:b/>
          <w:i w:val="0"/>
          <w:color w:val="152A43"/>
          <w:sz w:val="26"/>
        </w:rPr>
        <w:t>Strategic Proposal for Unified Digital Institution Transformation</w:t>
      </w:r>
    </w:p>
    <w:p>
      <w:pPr>
        <w:spacing w:before="0" w:after="40" w:line="240" w:lineRule="auto"/>
      </w:pPr>
      <w:r>
        <w:rPr>
          <w:rFonts w:ascii="Times New Roman" w:hAnsi="Times New Roman"/>
          <w:b w:val="0"/>
          <w:i w:val="0"/>
          <w:color w:val="5E6C7B"/>
          <w:sz w:val="17"/>
        </w:rPr>
        <w:t>For Wainganga College of Engineering and Management (WCEM), Nagpur.</w:t>
      </w:r>
    </w:p>
    <w:p>
      <w:pPr>
        <w:spacing w:before="0" w:after="60" w:line="240" w:lineRule="auto"/>
        <w:pBdr>
          <w:bottom w:val="single" w:sz="6" w:space="1" w:color="D7E0E8"/>
        </w:pBdr>
      </w:pPr>
    </w:p>
    <w:p>
      <w:pPr>
        <w:spacing w:before="0" w:after="60" w:line="240" w:lineRule="auto"/>
      </w:pPr>
      <w:r>
        <w:rPr>
          <w:rFonts w:ascii="Times New Roman" w:hAnsi="Times New Roman"/>
          <w:b w:val="0"/>
          <w:i w:val="0"/>
          <w:color w:val="1C2B39"/>
          <w:sz w:val="17"/>
        </w:rPr>
        <w:t>To,</w:t>
        <w:br/>
        <w:t>The Director,</w:t>
        <w:br/>
        <w:t>Wainganga College of Engineering and Management (WCEM),</w:t>
        <w:br/>
        <w:t>Nagpur.</w:t>
      </w:r>
    </w:p>
    <w:p>
      <w:pPr>
        <w:spacing w:before="0" w:after="60" w:line="240" w:lineRule="auto"/>
      </w:pPr>
      <w:r>
        <w:rPr>
          <w:rFonts w:ascii="Times New Roman" w:hAnsi="Times New Roman"/>
          <w:b/>
          <w:i w:val="0"/>
          <w:color w:val="1C2B39"/>
          <w:sz w:val="18"/>
        </w:rPr>
        <w:t>Subject: Strategic Proposal for Unified Digital Institution Transformation</w:t>
      </w:r>
    </w:p>
    <w:p>
      <w:pPr>
        <w:spacing w:before="0" w:after="40" w:line="240" w:lineRule="auto"/>
      </w:pPr>
      <w:r>
        <w:rPr>
          <w:rFonts w:ascii="Times New Roman" w:hAnsi="Times New Roman"/>
          <w:b w:val="0"/>
          <w:i w:val="0"/>
          <w:color w:val="1C2B39"/>
          <w:sz w:val="18"/>
        </w:rPr>
        <w:t>Respected Sir,</w:t>
      </w:r>
    </w:p>
    <w:p>
      <w:pPr>
        <w:spacing w:before="0" w:after="40" w:line="240" w:lineRule="auto"/>
      </w:pPr>
      <w:r>
        <w:rPr>
          <w:rFonts w:ascii="Times New Roman" w:hAnsi="Times New Roman"/>
          <w:b w:val="0"/>
          <w:i w:val="0"/>
          <w:color w:val="1C2B39"/>
          <w:sz w:val="18"/>
        </w:rPr>
        <w:t>Following our upcoming meeting, I am formally submitting this proposal for the implementation of a comprehensive Digital Institution Transformation System at Wainganga College of Engineering and Management.</w:t>
      </w:r>
    </w:p>
    <w:p>
      <w:pPr>
        <w:spacing w:before="0" w:after="40" w:line="240" w:lineRule="auto"/>
      </w:pPr>
      <w:r>
        <w:rPr>
          <w:rFonts w:ascii="Times New Roman" w:hAnsi="Times New Roman"/>
          <w:b w:val="0"/>
          <w:i w:val="0"/>
          <w:color w:val="1C2B39"/>
          <w:sz w:val="18"/>
        </w:rPr>
        <w:t>Operating as an autonomous multi-program institution across B.Tech, M.Tech, Polytechnic, MBA, and MCA creates a complex demand across academic, examination, finance, and compliance workflows. Our analysis indicates that the core bottleneck is not a lack of software, but the operational friction created by disconnected data systems.</w:t>
      </w:r>
    </w:p>
    <w:p>
      <w:pPr>
        <w:spacing w:before="0" w:after="40" w:line="240" w:lineRule="auto"/>
      </w:pPr>
      <w:r>
        <w:rPr>
          <w:rFonts w:ascii="Times New Roman" w:hAnsi="Times New Roman"/>
          <w:b w:val="0"/>
          <w:i w:val="0"/>
          <w:color w:val="1C2B39"/>
          <w:sz w:val="18"/>
        </w:rPr>
        <w:t>Our proposal is the implementation of one unified digital operating system rather than fragmented portals. The platform integrates seven institutional layers: Admissions and Conversion, Academic Operations, Examination Control, Financial Integrity, Placement and Outcomes, Governance and NAAC Compliance, and an Executive Control Dashboard.</w:t>
      </w:r>
    </w:p>
    <w:p>
      <w:pPr>
        <w:spacing w:before="0" w:after="40" w:line="240" w:lineRule="auto"/>
      </w:pPr>
      <w:r>
        <w:rPr>
          <w:rFonts w:ascii="Times New Roman" w:hAnsi="Times New Roman"/>
          <w:b w:val="0"/>
          <w:i w:val="0"/>
          <w:color w:val="1C2B39"/>
          <w:sz w:val="18"/>
        </w:rPr>
        <w:t>Our commitment includes high-availability cloud deployment with college-controlled data sovereignty, a perpetual exclusive institutional license model, and a discovery process focused on mapping existing institutional workflows so the software fits staff reality rather than forcing teams to adapt to generic tools.</w:t>
      </w:r>
    </w:p>
    <w:p>
      <w:pPr>
        <w:spacing w:before="0" w:after="40" w:line="240" w:lineRule="auto"/>
      </w:pPr>
      <w:r>
        <w:rPr>
          <w:rFonts w:ascii="Times New Roman" w:hAnsi="Times New Roman"/>
          <w:b w:val="0"/>
          <w:i w:val="0"/>
          <w:color w:val="1C2B39"/>
          <w:sz w:val="18"/>
        </w:rPr>
        <w:t>The Commercial and Operating Framework for the engagement is as follows. First, the total investment for platform design, engineering, and deployment is Rs. 6,50,000/- (Six Lakhs, Fifty Thousand Rupees only), structured as 30 percent on kickoff, 40 percent on core module delivery, and 30 percent upon final stabilization. We also provide a Lifetime Proprietary Warranty on all code against the signed blueprint, ensuring long-term institutional stability at zero additional maintenance cost.</w:t>
      </w:r>
    </w:p>
    <w:p>
      <w:pPr>
        <w:spacing w:before="0" w:after="40" w:line="240" w:lineRule="auto"/>
      </w:pPr>
      <w:r>
        <w:rPr>
          <w:rFonts w:ascii="Times New Roman" w:hAnsi="Times New Roman"/>
          <w:b w:val="0"/>
          <w:i w:val="0"/>
          <w:color w:val="1C2B39"/>
          <w:sz w:val="18"/>
        </w:rPr>
        <w:t>Second, the platform is engineered for cloud-native scalability, and ongoing infrastructure costs are separate from our engineering fee. These third-party operating expenses are paid directly by the college to service providers at actual usage rates and include cloud infrastructure, DLT-approved SMS and WhatsApp Business API communication layers, and annual domain and security certification costs. For an institution of this scale, we estimate these external operating costs to be approximately Rs. 18,500/- per month. SrS Logics does not mark up these costs; they are billed to the institution by the respective service providers at actuals.</w:t>
      </w:r>
    </w:p>
    <w:p>
      <w:pPr>
        <w:spacing w:before="0" w:after="40" w:line="240" w:lineRule="auto"/>
      </w:pPr>
      <w:r>
        <w:rPr>
          <w:rFonts w:ascii="Times New Roman" w:hAnsi="Times New Roman"/>
          <w:b w:val="0"/>
          <w:i w:val="0"/>
          <w:color w:val="1C2B39"/>
          <w:sz w:val="18"/>
        </w:rPr>
        <w:t>Upon approval, we are prepared to initiate a structured Discovery and Blueprint Phase to finalize role hierarchies, approval workflows, and the implementation sequence required for a phased go-live aligned to the upcoming academic intake.</w:t>
      </w:r>
    </w:p>
    <w:p>
      <w:pPr>
        <w:spacing w:before="0" w:after="40" w:line="240" w:lineRule="auto"/>
      </w:pPr>
      <w:r>
        <w:rPr>
          <w:rFonts w:ascii="Times New Roman" w:hAnsi="Times New Roman"/>
          <w:b w:val="0"/>
          <w:i w:val="0"/>
          <w:color w:val="1C2B39"/>
          <w:sz w:val="18"/>
        </w:rPr>
        <w:t>I look forward to discussing how SrS Logics can help establish a stronger, more disciplined digital foundation for Wainganga College.</w:t>
      </w:r>
    </w:p>
    <w:p>
      <w:pPr>
        <w:spacing w:before="0" w:after="40" w:line="240" w:lineRule="auto"/>
      </w:pPr>
      <w:r>
        <w:rPr>
          <w:rFonts w:ascii="Times New Roman" w:hAnsi="Times New Roman"/>
          <w:b w:val="0"/>
          <w:i w:val="0"/>
          <w:color w:val="1C2B39"/>
          <w:sz w:val="18"/>
        </w:rPr>
        <w:t>Sincerely,</w:t>
      </w: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608"/>
      </w:tblGrid>
      <w:tr>
        <w:tc>
          <w:tcPr>
            <w:tcW w:type="dxa" w:w="10800"/>
            <w:tcMar>
              <w:top w:w="20" w:type="dxa"/>
              <w:start w:w="0" w:type="dxa"/>
              <w:bottom w:w="8" w:type="dxa"/>
              <w:end w:w="0" w:type="dxa"/>
            </w:tcMar>
            <w:tcBorders>
              <w:top w:val="single" w:sz="10" w:color="152A43"/>
              <w:left w:val="nil"/>
              <w:right w:val="nil"/>
              <w:bottom w:val="nil"/>
            </w:tcBorders>
          </w:tcPr>
          <w:p>
            <w:pPr>
              <w:spacing w:before="0" w:after="0" w:line="235" w:lineRule="auto"/>
            </w:pPr>
            <w:r>
              <w:rPr>
                <w:rFonts w:ascii="Times New Roman" w:hAnsi="Times New Roman"/>
                <w:b/>
                <w:i w:val="0"/>
                <w:color w:val="152A43"/>
                <w:sz w:val="19"/>
              </w:rPr>
              <w:t>Shubham Singh</w:t>
              <w:br/>
            </w:r>
            <w:r>
              <w:rPr>
                <w:rFonts w:ascii="Times New Roman" w:hAnsi="Times New Roman"/>
                <w:b w:val="0"/>
                <w:i w:val="0"/>
                <w:color w:val="1C2B39"/>
                <w:sz w:val="17"/>
              </w:rPr>
              <w:t>Founder, SrS Logics</w:t>
              <w:br/>
            </w:r>
            <w:r>
              <w:rPr>
                <w:rFonts w:ascii="Times New Roman" w:hAnsi="Times New Roman"/>
                <w:b w:val="0"/>
                <w:i w:val="0"/>
                <w:color w:val="5E6C7B"/>
                <w:sz w:val="16"/>
              </w:rPr>
              <w:t>+91 9270925106</w:t>
              <w:br/>
              <w:t>shubhamsingh@srslogics.com</w:t>
            </w:r>
          </w:p>
        </w:tc>
      </w:tr>
    </w:tbl>
    <w:sectPr w:rsidR="00FC693F" w:rsidRPr="0006063C" w:rsidSect="00034616">
      <w:headerReference w:type="default" r:id="rId9"/>
      <w:pgSz w:w="12240" w:h="15840"/>
      <w:pgMar w:top="547" w:right="720" w:bottom="518"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20" w:line="240" w:lineRule="auto"/>
      <w:jc w:val="left"/>
    </w:pPr>
    <w:r>
      <w:rPr>
        <w:rFonts w:ascii="Times New Roman" w:hAnsi="Times New Roman"/>
        <w:b/>
        <w:i w:val="0"/>
        <w:color w:val="152A43"/>
        <w:sz w:val="17"/>
      </w:rPr>
      <w:t>SrS LOGICS</w:t>
    </w:r>
    <w:r>
      <w:rPr>
        <w:rFonts w:ascii="Times New Roman" w:hAnsi="Times New Roman"/>
        <w:b w:val="0"/>
        <w:i w:val="0"/>
        <w:color w:val="5E6C7B"/>
        <w:sz w:val="17"/>
      </w:rPr>
      <w:t xml:space="preserve">  |  Institutional technology partnership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