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408"/>
        <w:gridCol w:w="3024"/>
      </w:tblGrid>
      <w:tr>
        <w:tc>
          <w:tcPr>
            <w:tcW w:type="dxa" w:w="5083"/>
            <w:shd w:fill="0B1220" w:val="clear"/>
            <w:tcMar>
              <w:top w:w="170" w:type="dxa"/>
              <w:start w:w="180" w:type="dxa"/>
              <w:bottom w:w="170" w:type="dxa"/>
              <w:end w:w="170" w:type="dxa"/>
            </w:tcMar>
            <w:vAlign w:val="top"/>
          </w:tcPr>
          <w:p>
            <w:pPr>
              <w:spacing w:before="0" w:after="160" w:line="276" w:lineRule="auto"/>
            </w:pPr>
            <w:r>
              <w:rPr>
                <w:rFonts w:ascii="Arial" w:hAnsi="Arial"/>
                <w:b/>
                <w:color w:val="A6F0FF"/>
                <w:sz w:val="21"/>
              </w:rPr>
              <w:t>SRS LOGICS</w:t>
            </w:r>
          </w:p>
          <w:p>
            <w:pPr>
              <w:spacing w:before="0" w:after="200" w:line="240" w:lineRule="auto"/>
            </w:pPr>
            <w:r>
              <w:rPr>
                <w:rFonts w:ascii="Arial" w:hAnsi="Arial"/>
                <w:b/>
                <w:color w:val="FFFFFF"/>
                <w:sz w:val="48"/>
              </w:rPr>
              <w:t>Client</w:t>
              <w:br/>
              <w:t>Welcome Kit</w:t>
            </w:r>
          </w:p>
          <w:p>
            <w:pPr>
              <w:spacing w:before="0" w:after="0" w:line="307" w:lineRule="auto"/>
            </w:pPr>
            <w:r>
              <w:rPr>
                <w:rFonts w:ascii="Arial" w:hAnsi="Arial"/>
                <w:color w:val="DFEAFA"/>
                <w:sz w:val="22"/>
              </w:rPr>
              <w:t>A modern onboarding packet for custom software engagements, approvals, testing, deployment, and handover.</w:t>
            </w:r>
          </w:p>
        </w:tc>
        <w:tc>
          <w:tcPr>
            <w:tcW w:type="dxa" w:w="5083"/>
            <w:shd w:fill="111B2B" w:val="clear"/>
            <w:tcMar>
              <w:top w:w="170" w:type="dxa"/>
              <w:start w:w="180" w:type="dxa"/>
              <w:bottom w:w="170" w:type="dxa"/>
              <w:end w:w="170" w:type="dxa"/>
            </w:tcMar>
            <w:vAlign w:val="top"/>
          </w:tcPr>
          <w:p>
            <w:pPr>
              <w:spacing w:before="0" w:after="160" w:line="276" w:lineRule="auto"/>
            </w:pPr>
            <w:r>
              <w:rPr>
                <w:rFonts w:ascii="Arial" w:hAnsi="Arial"/>
                <w:b/>
                <w:color w:val="A6F0FF"/>
                <w:sz w:val="18"/>
              </w:rPr>
              <w:t>ENGAGEMENT FILE</w:t>
            </w:r>
          </w:p>
          <w:p>
            <w:pPr>
              <w:spacing w:before="0" w:after="160" w:line="278" w:lineRule="auto"/>
            </w:pPr>
            <w:r>
              <w:rPr>
                <w:rFonts w:ascii="Arial" w:hAnsi="Arial"/>
                <w:b/>
                <w:color w:val="9AB0D6"/>
                <w:sz w:val="17"/>
              </w:rPr>
              <w:t>Prepared for</w:t>
              <w:br/>
            </w:r>
            <w:r>
              <w:rPr>
                <w:rFonts w:ascii="Arial" w:hAnsi="Arial"/>
                <w:b/>
                <w:color w:val="FFFFFF"/>
                <w:sz w:val="20"/>
              </w:rPr>
              <w:t>[Client Name / Company Name]</w:t>
            </w:r>
          </w:p>
          <w:p>
            <w:pPr>
              <w:spacing w:before="0" w:after="160" w:line="278" w:lineRule="auto"/>
            </w:pPr>
            <w:r>
              <w:rPr>
                <w:rFonts w:ascii="Arial" w:hAnsi="Arial"/>
                <w:b/>
                <w:color w:val="9AB0D6"/>
                <w:sz w:val="17"/>
              </w:rPr>
              <w:t>Project</w:t>
              <w:br/>
            </w:r>
            <w:r>
              <w:rPr>
                <w:rFonts w:ascii="Arial" w:hAnsi="Arial"/>
                <w:b/>
                <w:color w:val="FFFFFF"/>
                <w:sz w:val="20"/>
              </w:rPr>
              <w:t>[Software / System Name]</w:t>
            </w:r>
          </w:p>
          <w:p>
            <w:pPr>
              <w:spacing w:before="0" w:after="160" w:line="278" w:lineRule="auto"/>
            </w:pPr>
            <w:r>
              <w:rPr>
                <w:rFonts w:ascii="Arial" w:hAnsi="Arial"/>
                <w:b/>
                <w:color w:val="9AB0D6"/>
                <w:sz w:val="17"/>
              </w:rPr>
              <w:t>Prepared by</w:t>
              <w:br/>
            </w:r>
            <w:r>
              <w:rPr>
                <w:rFonts w:ascii="Arial" w:hAnsi="Arial"/>
                <w:b/>
                <w:color w:val="FFFFFF"/>
                <w:sz w:val="20"/>
              </w:rPr>
              <w:t>SrS Logics</w:t>
            </w:r>
          </w:p>
          <w:p>
            <w:pPr>
              <w:spacing w:before="0" w:after="160" w:line="278" w:lineRule="auto"/>
            </w:pPr>
            <w:r>
              <w:rPr>
                <w:rFonts w:ascii="Arial" w:hAnsi="Arial"/>
                <w:b/>
                <w:color w:val="9AB0D6"/>
                <w:sz w:val="17"/>
              </w:rPr>
              <w:t>Issued on</w:t>
              <w:br/>
            </w:r>
            <w:r>
              <w:rPr>
                <w:rFonts w:ascii="Arial" w:hAnsi="Arial"/>
                <w:b/>
                <w:color w:val="FFFFFF"/>
                <w:sz w:val="20"/>
              </w:rPr>
              <w:t>24 May 2026</w:t>
            </w:r>
          </w:p>
        </w:tc>
      </w:tr>
      <w:tr>
        <w:tc>
          <w:tcPr>
            <w:tcW w:type="dxa" w:w="5083"/>
            <w:shd w:fill="16253C" w:val="clear"/>
            <w:tcMar>
              <w:top w:w="170" w:type="dxa"/>
              <w:start w:w="180" w:type="dxa"/>
              <w:bottom w:w="170" w:type="dxa"/>
              <w:end w:w="170" w:type="dxa"/>
            </w:tcMar>
            <w:vAlign w:val="top"/>
          </w:tcPr>
          <w:p>
            <w:pPr>
              <w:spacing w:before="0" w:after="120" w:line="276" w:lineRule="auto"/>
            </w:pPr>
            <w:r>
              <w:rPr>
                <w:rFonts w:ascii="Arial" w:hAnsi="Arial"/>
                <w:b/>
                <w:color w:val="A6F0FF"/>
                <w:sz w:val="18"/>
              </w:rPr>
              <w:t>WORKING PRINCIPLE</w:t>
            </w:r>
          </w:p>
          <w:p>
            <w:pPr>
              <w:spacing w:before="0" w:after="0" w:line="288" w:lineRule="auto"/>
            </w:pPr>
            <w:r>
              <w:rPr>
                <w:rFonts w:ascii="Arial" w:hAnsi="Arial"/>
                <w:color w:val="DFEAFA"/>
                <w:sz w:val="20"/>
              </w:rPr>
              <w:t>The software should reflect the way the business actually runs. This kit is built to reduce ambiguity and create a disciplined start.</w:t>
            </w:r>
          </w:p>
        </w:tc>
        <w:tc>
          <w:tcPr>
            <w:tcW w:type="dxa" w:w="5083"/>
            <w:shd w:fill="1A2140" w:val="clear"/>
            <w:tcMar>
              <w:top w:w="170" w:type="dxa"/>
              <w:start w:w="180" w:type="dxa"/>
              <w:bottom w:w="170" w:type="dxa"/>
              <w:end w:w="170" w:type="dxa"/>
            </w:tcMar>
            <w:vAlign w:val="top"/>
          </w:tcPr>
          <w:p>
            <w:pPr>
              <w:spacing w:before="0" w:after="120" w:line="276" w:lineRule="auto"/>
            </w:pPr>
            <w:r>
              <w:rPr>
                <w:rFonts w:ascii="Arial" w:hAnsi="Arial"/>
                <w:b/>
                <w:color w:val="A6F0FF"/>
                <w:sz w:val="18"/>
              </w:rPr>
              <w:t>DELIVERY WINDOW</w:t>
            </w:r>
          </w:p>
          <w:p>
            <w:pPr>
              <w:spacing w:before="0" w:after="0" w:line="288" w:lineRule="auto"/>
            </w:pPr>
            <w:r>
              <w:rPr>
                <w:rFonts w:ascii="Arial" w:hAnsi="Arial"/>
                <w:color w:val="DFEAFA"/>
                <w:sz w:val="20"/>
              </w:rPr>
              <w:t>Most engagements move from requirement gathering to testing within roughly 4 to 6 weeks.</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3096"/>
        <w:gridCol w:w="3096"/>
        <w:gridCol w:w="3096"/>
      </w:tblGrid>
      <w:tr>
        <w:tc>
          <w:tcPr>
            <w:tcW w:type="dxa" w:w="3389"/>
            <w:shd w:fill="EAF5FF" w:val="clear"/>
            <w:tcMar>
              <w:top w:w="120" w:type="dxa"/>
              <w:start w:w="150" w:type="dxa"/>
              <w:bottom w:w="120" w:type="dxa"/>
              <w:end w:w="150" w:type="dxa"/>
            </w:tcMar>
          </w:tcPr>
          <w:p>
            <w:pPr>
              <w:spacing w:before="0" w:after="80" w:line="276" w:lineRule="auto"/>
            </w:pPr>
            <w:r>
              <w:rPr>
                <w:rFonts w:ascii="Arial" w:hAnsi="Arial"/>
                <w:b/>
                <w:color w:val="1F92FF"/>
                <w:sz w:val="20"/>
              </w:rPr>
              <w:t>Requirement clarity</w:t>
              <w:br/>
            </w:r>
            <w:r>
              <w:rPr>
                <w:rFonts w:ascii="Arial" w:hAnsi="Arial"/>
                <w:color w:val="212F44"/>
                <w:sz w:val="20"/>
              </w:rPr>
              <w:t>Real business process understanding before development starts.</w:t>
            </w:r>
          </w:p>
        </w:tc>
        <w:tc>
          <w:tcPr>
            <w:tcW w:type="dxa" w:w="3389"/>
            <w:shd w:fill="EFF0FF" w:val="clear"/>
            <w:tcMar>
              <w:top w:w="120" w:type="dxa"/>
              <w:start w:w="150" w:type="dxa"/>
              <w:bottom w:w="120" w:type="dxa"/>
              <w:end w:w="150" w:type="dxa"/>
            </w:tcMar>
          </w:tcPr>
          <w:p>
            <w:pPr>
              <w:spacing w:before="0" w:after="80" w:line="276" w:lineRule="auto"/>
            </w:pPr>
            <w:r>
              <w:rPr>
                <w:rFonts w:ascii="Arial" w:hAnsi="Arial"/>
                <w:b/>
                <w:color w:val="6A61FF"/>
                <w:sz w:val="20"/>
              </w:rPr>
              <w:t>Testing discipline</w:t>
              <w:br/>
            </w:r>
            <w:r>
              <w:rPr>
                <w:rFonts w:ascii="Arial" w:hAnsi="Arial"/>
                <w:color w:val="212F44"/>
                <w:sz w:val="20"/>
              </w:rPr>
              <w:t>Structured review, milestone checks, and sign-off handling.</w:t>
            </w:r>
          </w:p>
        </w:tc>
        <w:tc>
          <w:tcPr>
            <w:tcW w:type="dxa" w:w="3389"/>
            <w:shd w:fill="EAF5FF" w:val="clear"/>
            <w:tcMar>
              <w:top w:w="120" w:type="dxa"/>
              <w:start w:w="150" w:type="dxa"/>
              <w:bottom w:w="120" w:type="dxa"/>
              <w:end w:w="150" w:type="dxa"/>
            </w:tcMar>
          </w:tcPr>
          <w:p>
            <w:pPr>
              <w:spacing w:before="0" w:after="80" w:line="276" w:lineRule="auto"/>
            </w:pPr>
            <w:r>
              <w:rPr>
                <w:rFonts w:ascii="Arial" w:hAnsi="Arial"/>
                <w:b/>
                <w:color w:val="1F92FF"/>
                <w:sz w:val="20"/>
              </w:rPr>
              <w:t>Deployment readiness</w:t>
              <w:br/>
            </w:r>
            <w:r>
              <w:rPr>
                <w:rFonts w:ascii="Arial" w:hAnsi="Arial"/>
                <w:color w:val="212F44"/>
                <w:sz w:val="20"/>
              </w:rPr>
              <w:t>Clean handover with support continuity after launch.</w:t>
            </w:r>
          </w:p>
        </w:tc>
      </w:tr>
    </w:tbl>
    <w:p>
      <w:pPr>
        <w:spacing w:before="360" w:after="60" w:line="276" w:lineRule="auto"/>
      </w:pPr>
      <w:r>
        <w:rPr>
          <w:rFonts w:ascii="Arial" w:hAnsi="Arial"/>
          <w:b/>
          <w:color w:val="1F92FF"/>
          <w:sz w:val="18"/>
        </w:rPr>
        <w:t>WELCOME</w:t>
      </w:r>
    </w:p>
    <w:p>
      <w:pPr>
        <w:spacing w:before="0" w:after="160" w:line="240" w:lineRule="auto"/>
      </w:pPr>
      <w:r>
        <w:rPr>
          <w:rFonts w:ascii="Arial" w:hAnsi="Arial"/>
          <w:b/>
          <w:color w:val="09111D"/>
          <w:sz w:val="36"/>
        </w:rPr>
        <w:t>A Clear Start To The Engagement</w:t>
      </w:r>
    </w:p>
    <w:p>
      <w:pPr>
        <w:spacing w:before="0" w:after="120" w:line="298" w:lineRule="auto"/>
      </w:pPr>
      <w:r>
        <w:rPr>
          <w:rFonts w:ascii="Arial" w:hAnsi="Arial"/>
          <w:color w:val="212F44"/>
          <w:sz w:val="21"/>
        </w:rPr>
        <w:t>Thank you for choosing SrS Logics. This welcome kit is designed to make the software engagement feel structured from the beginning. It aligns both teams on how the project will move, what approvals are needed, what should be ready from the client side, and what the handover journey looks like before development starts.</w:t>
      </w:r>
    </w:p>
    <w:p>
      <w:pPr>
        <w:spacing w:before="360" w:after="60" w:line="276" w:lineRule="auto"/>
      </w:pPr>
      <w:r>
        <w:rPr>
          <w:rFonts w:ascii="Arial" w:hAnsi="Arial"/>
          <w:b/>
          <w:color w:val="1F92FF"/>
          <w:sz w:val="18"/>
        </w:rPr>
        <w:t>SNAPSHOT</w:t>
      </w:r>
    </w:p>
    <w:p>
      <w:pPr>
        <w:spacing w:before="0" w:after="160" w:line="240" w:lineRule="auto"/>
      </w:pPr>
      <w:r>
        <w:rPr>
          <w:rFonts w:ascii="Arial" w:hAnsi="Arial"/>
          <w:b/>
          <w:color w:val="09111D"/>
          <w:sz w:val="36"/>
        </w:rPr>
        <w:t>Engagement At A Glance</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5083"/>
            <w:shd w:fill="F6FAFF" w:val="clear"/>
            <w:tcMar>
              <w:top w:w="130" w:type="dxa"/>
              <w:start w:w="160" w:type="dxa"/>
              <w:bottom w:w="130" w:type="dxa"/>
              <w:end w:w="160" w:type="dxa"/>
            </w:tcMar>
            <w:vAlign w:val="center"/>
          </w:tcPr>
          <w:p>
            <w:pPr>
              <w:spacing w:before="0" w:after="80" w:line="276" w:lineRule="auto"/>
            </w:pPr>
            <w:r>
              <w:rPr>
                <w:rFonts w:ascii="Arial" w:hAnsi="Arial"/>
                <w:b/>
                <w:color w:val="1F92FF"/>
                <w:sz w:val="20"/>
              </w:rPr>
              <w:t>Engagement model</w:t>
              <w:br/>
            </w:r>
            <w:r>
              <w:rPr>
                <w:rFonts w:ascii="Arial" w:hAnsi="Arial"/>
                <w:color w:val="212F44"/>
                <w:sz w:val="20"/>
              </w:rPr>
              <w:t>Founder-led delivery with direct business understanding and software shaped around your actual operating process.</w:t>
            </w:r>
          </w:p>
        </w:tc>
        <w:tc>
          <w:tcPr>
            <w:tcW w:type="dxa" w:w="5083"/>
            <w:shd w:fill="F2F0FF" w:val="clear"/>
            <w:tcMar>
              <w:top w:w="130" w:type="dxa"/>
              <w:start w:w="160" w:type="dxa"/>
              <w:bottom w:w="130" w:type="dxa"/>
              <w:end w:w="160" w:type="dxa"/>
            </w:tcMar>
            <w:vAlign w:val="center"/>
          </w:tcPr>
          <w:p>
            <w:pPr>
              <w:spacing w:before="0" w:after="80" w:line="276" w:lineRule="auto"/>
            </w:pPr>
            <w:r>
              <w:rPr>
                <w:rFonts w:ascii="Arial" w:hAnsi="Arial"/>
                <w:b/>
                <w:color w:val="6A61FF"/>
                <w:sz w:val="20"/>
              </w:rPr>
              <w:t>Timeline window</w:t>
              <w:br/>
            </w:r>
            <w:r>
              <w:rPr>
                <w:rFonts w:ascii="Arial" w:hAnsi="Arial"/>
                <w:color w:val="212F44"/>
                <w:sz w:val="20"/>
              </w:rPr>
              <w:t>Most software engagements move from requirement gathering to testing within roughly 4 to 6 weeks.</w:t>
            </w:r>
          </w:p>
        </w:tc>
      </w:tr>
      <w:tr>
        <w:tc>
          <w:tcPr>
            <w:tcW w:type="dxa" w:w="5083"/>
            <w:shd w:fill="EEF4FF" w:val="clear"/>
            <w:tcMar>
              <w:top w:w="130" w:type="dxa"/>
              <w:start w:w="160" w:type="dxa"/>
              <w:bottom w:w="130" w:type="dxa"/>
              <w:end w:w="160" w:type="dxa"/>
            </w:tcMar>
            <w:vAlign w:val="center"/>
          </w:tcPr>
          <w:p>
            <w:pPr>
              <w:spacing w:before="0" w:after="80" w:line="276" w:lineRule="auto"/>
            </w:pPr>
            <w:r>
              <w:rPr>
                <w:rFonts w:ascii="Arial" w:hAnsi="Arial"/>
                <w:b/>
                <w:color w:val="1F92FF"/>
                <w:sz w:val="20"/>
              </w:rPr>
              <w:t>Support window</w:t>
              <w:br/>
            </w:r>
            <w:r>
              <w:rPr>
                <w:rFonts w:ascii="Arial" w:hAnsi="Arial"/>
                <w:color w:val="212F44"/>
                <w:sz w:val="20"/>
              </w:rPr>
              <w:t>Post-handover support is typically included for 6 months unless revised in the final commercial note.</w:t>
            </w:r>
          </w:p>
        </w:tc>
        <w:tc>
          <w:tcPr>
            <w:tcW w:type="dxa" w:w="5083"/>
            <w:shd w:fill="F6FAFF" w:val="clear"/>
            <w:tcMar>
              <w:top w:w="130" w:type="dxa"/>
              <w:start w:w="160" w:type="dxa"/>
              <w:bottom w:w="130" w:type="dxa"/>
              <w:end w:w="160" w:type="dxa"/>
            </w:tcMar>
            <w:vAlign w:val="center"/>
          </w:tcPr>
          <w:p>
            <w:pPr>
              <w:spacing w:before="0" w:after="80" w:line="276" w:lineRule="auto"/>
            </w:pPr>
            <w:r>
              <w:rPr>
                <w:rFonts w:ascii="Arial" w:hAnsi="Arial"/>
                <w:b/>
                <w:color w:val="6A61FF"/>
                <w:sz w:val="20"/>
              </w:rPr>
              <w:t>Commercial structure</w:t>
              <w:br/>
            </w:r>
            <w:r>
              <w:rPr>
                <w:rFonts w:ascii="Arial" w:hAnsi="Arial"/>
                <w:color w:val="212F44"/>
                <w:sz w:val="20"/>
              </w:rPr>
              <w:t>Payments are generally handled in three phases: confirmation, testing milestone, and final handover.</w:t>
            </w:r>
          </w:p>
        </w:tc>
      </w:tr>
    </w:tbl>
    <w:p>
      <w:pPr>
        <w:spacing w:before="360" w:after="60" w:line="276" w:lineRule="auto"/>
      </w:pPr>
      <w:r>
        <w:rPr>
          <w:rFonts w:ascii="Arial" w:hAnsi="Arial"/>
          <w:b/>
          <w:color w:val="1F92FF"/>
          <w:sz w:val="18"/>
        </w:rPr>
        <w:t>OPERATING MODEL</w:t>
      </w:r>
    </w:p>
    <w:p>
      <w:pPr>
        <w:spacing w:before="0" w:after="160" w:line="240" w:lineRule="auto"/>
      </w:pPr>
      <w:r>
        <w:rPr>
          <w:rFonts w:ascii="Arial" w:hAnsi="Arial"/>
          <w:b/>
          <w:color w:val="09111D"/>
          <w:sz w:val="36"/>
        </w:rPr>
        <w:t>How The Delivery Will Work</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5083"/>
            <w:shd w:fill="EEF4FF" w:val="clear"/>
            <w:tcMar>
              <w:top w:w="150" w:type="dxa"/>
              <w:start w:w="170" w:type="dxa"/>
              <w:bottom w:w="150" w:type="dxa"/>
              <w:end w:w="170" w:type="dxa"/>
            </w:tcMar>
          </w:tcPr>
          <w:p>
            <w:pPr>
              <w:spacing w:before="0" w:after="100" w:line="276" w:lineRule="auto"/>
            </w:pPr>
            <w:r>
              <w:rPr>
                <w:rFonts w:ascii="Arial" w:hAnsi="Arial"/>
                <w:b/>
                <w:color w:val="1F92FF"/>
                <w:sz w:val="21"/>
              </w:rPr>
              <w:t>How we work</w:t>
            </w:r>
          </w:p>
          <w:p>
            <w:pPr>
              <w:pStyle w:val="ListBullet"/>
              <w:spacing w:before="0" w:after="60" w:line="274" w:lineRule="auto"/>
            </w:pPr>
            <w:r>
              <w:rPr>
                <w:rFonts w:ascii="Arial" w:hAnsi="Arial"/>
                <w:color w:val="212F44"/>
                <w:sz w:val="20"/>
              </w:rPr>
              <w:t>Delivery stays tied to the approved business workflow, not generic software assumptions.</w:t>
            </w:r>
          </w:p>
          <w:p>
            <w:pPr>
              <w:pStyle w:val="ListBullet"/>
              <w:spacing w:before="0" w:after="60" w:line="274" w:lineRule="auto"/>
            </w:pPr>
            <w:r>
              <w:rPr>
                <w:rFonts w:ascii="Arial" w:hAnsi="Arial"/>
                <w:color w:val="212F44"/>
                <w:sz w:val="20"/>
              </w:rPr>
              <w:t>Client response time affects delivery speed, especially during requirement confirmation and testing closure.</w:t>
            </w:r>
          </w:p>
          <w:p>
            <w:pPr>
              <w:pStyle w:val="ListBullet"/>
              <w:spacing w:before="0" w:after="60" w:line="274" w:lineRule="auto"/>
            </w:pPr>
            <w:r>
              <w:rPr>
                <w:rFonts w:ascii="Arial" w:hAnsi="Arial"/>
                <w:color w:val="212F44"/>
                <w:sz w:val="20"/>
              </w:rPr>
              <w:t>The best software outcomes happen when process owners stay involved in reviews.</w:t>
            </w:r>
          </w:p>
        </w:tc>
        <w:tc>
          <w:tcPr>
            <w:tcW w:type="dxa" w:w="5083"/>
            <w:shd w:fill="F2F0FF" w:val="clear"/>
            <w:tcMar>
              <w:top w:w="150" w:type="dxa"/>
              <w:start w:w="170" w:type="dxa"/>
              <w:bottom w:w="150" w:type="dxa"/>
              <w:end w:w="170" w:type="dxa"/>
            </w:tcMar>
          </w:tcPr>
          <w:p>
            <w:pPr>
              <w:spacing w:before="0" w:after="100" w:line="276" w:lineRule="auto"/>
            </w:pPr>
            <w:r>
              <w:rPr>
                <w:rFonts w:ascii="Arial" w:hAnsi="Arial"/>
                <w:b/>
                <w:color w:val="6A61FF"/>
                <w:sz w:val="21"/>
              </w:rPr>
              <w:t>Commercial and support</w:t>
            </w:r>
          </w:p>
          <w:p>
            <w:pPr>
              <w:pStyle w:val="ListBullet"/>
              <w:spacing w:before="0" w:after="60" w:line="274" w:lineRule="auto"/>
            </w:pPr>
            <w:r>
              <w:rPr>
                <w:rFonts w:ascii="Arial" w:hAnsi="Arial"/>
                <w:color w:val="212F44"/>
                <w:sz w:val="20"/>
              </w:rPr>
              <w:t>Payments are generally structured in three phases: confirmation, API/testing milestone, and handover.</w:t>
            </w:r>
          </w:p>
          <w:p>
            <w:pPr>
              <w:pStyle w:val="ListBullet"/>
              <w:spacing w:before="0" w:after="60" w:line="274" w:lineRule="auto"/>
            </w:pPr>
            <w:r>
              <w:rPr>
                <w:rFonts w:ascii="Arial" w:hAnsi="Arial"/>
                <w:color w:val="212F44"/>
                <w:sz w:val="20"/>
              </w:rPr>
              <w:t>Infrastructure choice and performance scope affect the final commercial size of the build.</w:t>
            </w:r>
          </w:p>
          <w:p>
            <w:pPr>
              <w:pStyle w:val="ListBullet"/>
              <w:spacing w:before="0" w:after="60" w:line="274" w:lineRule="auto"/>
            </w:pPr>
            <w:r>
              <w:rPr>
                <w:rFonts w:ascii="Arial" w:hAnsi="Arial"/>
                <w:color w:val="212F44"/>
                <w:sz w:val="20"/>
              </w:rPr>
              <w:t>Post-handover support is typically included for 6 months unless revised in writing.</w:t>
            </w:r>
          </w:p>
        </w:tc>
      </w:tr>
    </w:tbl>
    <w:p>
      <w:pPr>
        <w:spacing w:before="360" w:after="60" w:line="276" w:lineRule="auto"/>
      </w:pPr>
      <w:r>
        <w:rPr>
          <w:rFonts w:ascii="Arial" w:hAnsi="Arial"/>
          <w:b/>
          <w:color w:val="1F92FF"/>
          <w:sz w:val="18"/>
        </w:rPr>
        <w:t>TIMELINE</w:t>
      </w:r>
    </w:p>
    <w:p>
      <w:pPr>
        <w:spacing w:before="0" w:after="160" w:line="240" w:lineRule="auto"/>
      </w:pPr>
      <w:r>
        <w:rPr>
          <w:rFonts w:ascii="Arial" w:hAnsi="Arial"/>
          <w:b/>
          <w:color w:val="09111D"/>
          <w:sz w:val="36"/>
        </w:rPr>
        <w:t>Typical Delivery Journey</w:t>
      </w:r>
    </w:p>
    <w:tbl>
      <w:tblPr>
        <w:tblW w:type="auto" w:w="0"/>
        <w:jc w:val="left"/>
        <w:tblLayout w:type="fixed"/>
        <w:tblLook w:firstColumn="1" w:firstRow="1" w:lastColumn="0" w:lastRow="0" w:noHBand="0" w:noVBand="1" w:val="04A0"/>
        <w:tblBorders>
          <w:top w:val="single" w:sz="8" w:space="0" w:color="D9E5F5"/>
          <w:left w:val="single" w:sz="8" w:space="0" w:color="D9E5F5"/>
          <w:bottom w:val="single" w:sz="8" w:space="0" w:color="D9E5F5"/>
          <w:right w:val="single" w:sz="8" w:space="0" w:color="D9E5F5"/>
          <w:insideH w:val="single" w:sz="8" w:space="0" w:color="D9E5F5"/>
          <w:insideV w:val="single" w:sz="8" w:space="0" w:color="D9E5F5"/>
        </w:tblBorders>
      </w:tblPr>
      <w:tblGrid>
        <w:gridCol w:w="1296"/>
        <w:gridCol w:w="2232"/>
        <w:gridCol w:w="3384"/>
        <w:gridCol w:w="2520"/>
      </w:tblGrid>
      <w:tr>
        <w:trPr>
          <w:tblHeader w:val="true"/>
        </w:trPr>
        <w:tc>
          <w:tcPr>
            <w:tcW w:type="dxa" w:w="2541"/>
            <w:shd w:fill="EAF5FF" w:val="clear"/>
            <w:tcMar>
              <w:top w:w="110" w:type="dxa"/>
              <w:start w:w="130" w:type="dxa"/>
              <w:bottom w:w="110" w:type="dxa"/>
              <w:end w:w="130" w:type="dxa"/>
            </w:tcMar>
          </w:tcPr>
          <w:p>
            <w:pPr>
              <w:spacing w:before="0" w:after="0" w:line="276" w:lineRule="auto"/>
            </w:pPr>
            <w:r>
              <w:rPr>
                <w:rFonts w:ascii="Arial" w:hAnsi="Arial"/>
                <w:b/>
                <w:color w:val="09111D"/>
                <w:sz w:val="19"/>
              </w:rPr>
              <w:t>Stage</w:t>
            </w:r>
          </w:p>
        </w:tc>
        <w:tc>
          <w:tcPr>
            <w:tcW w:type="dxa" w:w="2541"/>
            <w:shd w:fill="EFF0FF" w:val="clear"/>
            <w:tcMar>
              <w:top w:w="110" w:type="dxa"/>
              <w:start w:w="130" w:type="dxa"/>
              <w:bottom w:w="110" w:type="dxa"/>
              <w:end w:w="130" w:type="dxa"/>
            </w:tcMar>
          </w:tcPr>
          <w:p>
            <w:pPr>
              <w:spacing w:before="0" w:after="0" w:line="276" w:lineRule="auto"/>
            </w:pPr>
            <w:r>
              <w:rPr>
                <w:rFonts w:ascii="Arial" w:hAnsi="Arial"/>
                <w:b/>
                <w:color w:val="09111D"/>
                <w:sz w:val="19"/>
              </w:rPr>
              <w:t>Typical timing</w:t>
            </w:r>
          </w:p>
        </w:tc>
        <w:tc>
          <w:tcPr>
            <w:tcW w:type="dxa" w:w="2541"/>
            <w:shd w:fill="EAF5FF" w:val="clear"/>
            <w:tcMar>
              <w:top w:w="110" w:type="dxa"/>
              <w:start w:w="130" w:type="dxa"/>
              <w:bottom w:w="110" w:type="dxa"/>
              <w:end w:w="130" w:type="dxa"/>
            </w:tcMar>
          </w:tcPr>
          <w:p>
            <w:pPr>
              <w:spacing w:before="0" w:after="0" w:line="276" w:lineRule="auto"/>
            </w:pPr>
            <w:r>
              <w:rPr>
                <w:rFonts w:ascii="Arial" w:hAnsi="Arial"/>
                <w:b/>
                <w:color w:val="09111D"/>
                <w:sz w:val="19"/>
              </w:rPr>
              <w:t>What happens</w:t>
            </w:r>
          </w:p>
        </w:tc>
        <w:tc>
          <w:tcPr>
            <w:tcW w:type="dxa" w:w="2541"/>
            <w:shd w:fill="EFF0FF" w:val="clear"/>
            <w:tcMar>
              <w:top w:w="110" w:type="dxa"/>
              <w:start w:w="130" w:type="dxa"/>
              <w:bottom w:w="110" w:type="dxa"/>
              <w:end w:w="130" w:type="dxa"/>
            </w:tcMar>
          </w:tcPr>
          <w:p>
            <w:pPr>
              <w:spacing w:before="0" w:after="0" w:line="276" w:lineRule="auto"/>
            </w:pPr>
            <w:r>
              <w:rPr>
                <w:rFonts w:ascii="Arial" w:hAnsi="Arial"/>
                <w:b/>
                <w:color w:val="09111D"/>
                <w:sz w:val="19"/>
              </w:rPr>
              <w:t>Client role</w:t>
            </w:r>
          </w:p>
        </w:tc>
      </w:tr>
      <w:tr>
        <w:tc>
          <w:tcPr>
            <w:tcW w:type="dxa" w:w="2541"/>
            <w:tcMar>
              <w:top w:w="95" w:type="dxa"/>
              <w:start w:w="130" w:type="dxa"/>
              <w:bottom w:w="95" w:type="dxa"/>
              <w:end w:w="130" w:type="dxa"/>
            </w:tcMar>
            <w:vAlign w:val="center"/>
          </w:tcPr>
          <w:p>
            <w:pPr>
              <w:spacing w:before="0" w:after="0" w:line="274" w:lineRule="auto"/>
            </w:pPr>
            <w:r>
              <w:rPr>
                <w:rFonts w:ascii="Arial" w:hAnsi="Arial"/>
                <w:b/>
                <w:color w:val="212F44"/>
                <w:sz w:val="20"/>
              </w:rPr>
              <w:t>01</w:t>
            </w:r>
          </w:p>
        </w:tc>
        <w:tc>
          <w:tcPr>
            <w:tcW w:type="dxa" w:w="2541"/>
            <w:tcMar>
              <w:top w:w="95" w:type="dxa"/>
              <w:start w:w="130" w:type="dxa"/>
              <w:bottom w:w="95" w:type="dxa"/>
              <w:end w:w="130" w:type="dxa"/>
            </w:tcMar>
            <w:vAlign w:val="center"/>
          </w:tcPr>
          <w:p>
            <w:pPr>
              <w:spacing w:before="0" w:after="0" w:line="274" w:lineRule="auto"/>
            </w:pPr>
            <w:r>
              <w:rPr>
                <w:rFonts w:ascii="Arial" w:hAnsi="Arial"/>
                <w:b w:val="0"/>
                <w:color w:val="212F44"/>
                <w:sz w:val="20"/>
              </w:rPr>
              <w:t>Week 1</w:t>
            </w:r>
          </w:p>
        </w:tc>
        <w:tc>
          <w:tcPr>
            <w:tcW w:type="dxa" w:w="2541"/>
            <w:tcMar>
              <w:top w:w="95" w:type="dxa"/>
              <w:start w:w="130" w:type="dxa"/>
              <w:bottom w:w="95" w:type="dxa"/>
              <w:end w:w="130" w:type="dxa"/>
            </w:tcMar>
            <w:vAlign w:val="center"/>
          </w:tcPr>
          <w:p>
            <w:pPr>
              <w:spacing w:before="0" w:after="0" w:line="274" w:lineRule="auto"/>
            </w:pPr>
            <w:r>
              <w:rPr>
                <w:rFonts w:ascii="Arial" w:hAnsi="Arial"/>
                <w:b w:val="0"/>
                <w:color w:val="212F44"/>
                <w:sz w:val="20"/>
              </w:rPr>
              <w:t>Requirement understanding, operating flow review, scope alignment, and approval of the working plan.</w:t>
            </w:r>
          </w:p>
        </w:tc>
        <w:tc>
          <w:tcPr>
            <w:tcW w:type="dxa" w:w="2541"/>
            <w:tcMar>
              <w:top w:w="95" w:type="dxa"/>
              <w:start w:w="130" w:type="dxa"/>
              <w:bottom w:w="95" w:type="dxa"/>
              <w:end w:w="130" w:type="dxa"/>
            </w:tcMar>
            <w:vAlign w:val="center"/>
          </w:tcPr>
          <w:p>
            <w:pPr>
              <w:spacing w:before="0" w:after="0" w:line="274" w:lineRule="auto"/>
            </w:pPr>
            <w:r>
              <w:rPr>
                <w:rFonts w:ascii="Arial" w:hAnsi="Arial"/>
                <w:b w:val="0"/>
                <w:color w:val="212F44"/>
                <w:sz w:val="20"/>
              </w:rPr>
              <w:t>Share workflow, decision makers, and priority outcomes.</w:t>
            </w:r>
          </w:p>
        </w:tc>
      </w:tr>
      <w:tr>
        <w:tc>
          <w:tcPr>
            <w:tcW w:type="dxa" w:w="2541"/>
            <w:tcMar>
              <w:top w:w="95" w:type="dxa"/>
              <w:start w:w="130" w:type="dxa"/>
              <w:bottom w:w="95" w:type="dxa"/>
              <w:end w:w="130" w:type="dxa"/>
            </w:tcMar>
            <w:vAlign w:val="center"/>
          </w:tcPr>
          <w:p>
            <w:pPr>
              <w:spacing w:before="0" w:after="0" w:line="274" w:lineRule="auto"/>
            </w:pPr>
            <w:r>
              <w:rPr>
                <w:rFonts w:ascii="Arial" w:hAnsi="Arial"/>
                <w:b/>
                <w:color w:val="212F44"/>
                <w:sz w:val="20"/>
              </w:rPr>
              <w:t>02</w:t>
            </w:r>
          </w:p>
        </w:tc>
        <w:tc>
          <w:tcPr>
            <w:tcW w:type="dxa" w:w="2541"/>
            <w:tcMar>
              <w:top w:w="95" w:type="dxa"/>
              <w:start w:w="130" w:type="dxa"/>
              <w:bottom w:w="95" w:type="dxa"/>
              <w:end w:w="130" w:type="dxa"/>
            </w:tcMar>
            <w:vAlign w:val="center"/>
          </w:tcPr>
          <w:p>
            <w:pPr>
              <w:spacing w:before="0" w:after="0" w:line="274" w:lineRule="auto"/>
            </w:pPr>
            <w:r>
              <w:rPr>
                <w:rFonts w:ascii="Arial" w:hAnsi="Arial"/>
                <w:b w:val="0"/>
                <w:color w:val="212F44"/>
                <w:sz w:val="20"/>
              </w:rPr>
              <w:t>Week 2</w:t>
            </w:r>
          </w:p>
        </w:tc>
        <w:tc>
          <w:tcPr>
            <w:tcW w:type="dxa" w:w="2541"/>
            <w:tcMar>
              <w:top w:w="95" w:type="dxa"/>
              <w:start w:w="130" w:type="dxa"/>
              <w:bottom w:w="95" w:type="dxa"/>
              <w:end w:w="130" w:type="dxa"/>
            </w:tcMar>
            <w:vAlign w:val="center"/>
          </w:tcPr>
          <w:p>
            <w:pPr>
              <w:spacing w:before="0" w:after="0" w:line="274" w:lineRule="auto"/>
            </w:pPr>
            <w:r>
              <w:rPr>
                <w:rFonts w:ascii="Arial" w:hAnsi="Arial"/>
                <w:b w:val="0"/>
                <w:color w:val="212F44"/>
                <w:sz w:val="20"/>
              </w:rPr>
              <w:t>Interface structure, process definition, database planning, and internal build setup.</w:t>
            </w:r>
          </w:p>
        </w:tc>
        <w:tc>
          <w:tcPr>
            <w:tcW w:type="dxa" w:w="2541"/>
            <w:tcMar>
              <w:top w:w="95" w:type="dxa"/>
              <w:start w:w="130" w:type="dxa"/>
              <w:bottom w:w="95" w:type="dxa"/>
              <w:end w:w="130" w:type="dxa"/>
            </w:tcMar>
            <w:vAlign w:val="center"/>
          </w:tcPr>
          <w:p>
            <w:pPr>
              <w:spacing w:before="0" w:after="0" w:line="274" w:lineRule="auto"/>
            </w:pPr>
            <w:r>
              <w:rPr>
                <w:rFonts w:ascii="Arial" w:hAnsi="Arial"/>
                <w:b w:val="0"/>
                <w:color w:val="212F44"/>
                <w:sz w:val="20"/>
              </w:rPr>
              <w:t>Confirm process details, fields, and exception cases.</w:t>
            </w:r>
          </w:p>
        </w:tc>
      </w:tr>
      <w:tr>
        <w:tc>
          <w:tcPr>
            <w:tcW w:type="dxa" w:w="2541"/>
            <w:tcMar>
              <w:top w:w="95" w:type="dxa"/>
              <w:start w:w="130" w:type="dxa"/>
              <w:bottom w:w="95" w:type="dxa"/>
              <w:end w:w="130" w:type="dxa"/>
            </w:tcMar>
            <w:vAlign w:val="center"/>
          </w:tcPr>
          <w:p>
            <w:pPr>
              <w:spacing w:before="0" w:after="0" w:line="274" w:lineRule="auto"/>
            </w:pPr>
            <w:r>
              <w:rPr>
                <w:rFonts w:ascii="Arial" w:hAnsi="Arial"/>
                <w:b/>
                <w:color w:val="212F44"/>
                <w:sz w:val="20"/>
              </w:rPr>
              <w:t>03</w:t>
            </w:r>
          </w:p>
        </w:tc>
        <w:tc>
          <w:tcPr>
            <w:tcW w:type="dxa" w:w="2541"/>
            <w:tcMar>
              <w:top w:w="95" w:type="dxa"/>
              <w:start w:w="130" w:type="dxa"/>
              <w:bottom w:w="95" w:type="dxa"/>
              <w:end w:w="130" w:type="dxa"/>
            </w:tcMar>
            <w:vAlign w:val="center"/>
          </w:tcPr>
          <w:p>
            <w:pPr>
              <w:spacing w:before="0" w:after="0" w:line="274" w:lineRule="auto"/>
            </w:pPr>
            <w:r>
              <w:rPr>
                <w:rFonts w:ascii="Arial" w:hAnsi="Arial"/>
                <w:b w:val="0"/>
                <w:color w:val="212F44"/>
                <w:sz w:val="20"/>
              </w:rPr>
              <w:t>Weeks 3-4</w:t>
            </w:r>
          </w:p>
        </w:tc>
        <w:tc>
          <w:tcPr>
            <w:tcW w:type="dxa" w:w="2541"/>
            <w:tcMar>
              <w:top w:w="95" w:type="dxa"/>
              <w:start w:w="130" w:type="dxa"/>
              <w:bottom w:w="95" w:type="dxa"/>
              <w:end w:w="130" w:type="dxa"/>
            </w:tcMar>
            <w:vAlign w:val="center"/>
          </w:tcPr>
          <w:p>
            <w:pPr>
              <w:spacing w:before="0" w:after="0" w:line="274" w:lineRule="auto"/>
            </w:pPr>
            <w:r>
              <w:rPr>
                <w:rFonts w:ascii="Arial" w:hAnsi="Arial"/>
                <w:b w:val="0"/>
                <w:color w:val="212F44"/>
                <w:sz w:val="20"/>
              </w:rPr>
              <w:t>Core software development, logic implementation, reporting flow, and platform assembly.</w:t>
            </w:r>
          </w:p>
        </w:tc>
        <w:tc>
          <w:tcPr>
            <w:tcW w:type="dxa" w:w="2541"/>
            <w:tcMar>
              <w:top w:w="95" w:type="dxa"/>
              <w:start w:w="130" w:type="dxa"/>
              <w:bottom w:w="95" w:type="dxa"/>
              <w:end w:w="130" w:type="dxa"/>
            </w:tcMar>
            <w:vAlign w:val="center"/>
          </w:tcPr>
          <w:p>
            <w:pPr>
              <w:spacing w:before="0" w:after="0" w:line="274" w:lineRule="auto"/>
            </w:pPr>
            <w:r>
              <w:rPr>
                <w:rFonts w:ascii="Arial" w:hAnsi="Arial"/>
                <w:b w:val="0"/>
                <w:color w:val="212F44"/>
                <w:sz w:val="20"/>
              </w:rPr>
              <w:t>Review previews and respond to clarifications quickly.</w:t>
            </w:r>
          </w:p>
        </w:tc>
      </w:tr>
      <w:tr>
        <w:tc>
          <w:tcPr>
            <w:tcW w:type="dxa" w:w="2541"/>
            <w:tcMar>
              <w:top w:w="95" w:type="dxa"/>
              <w:start w:w="130" w:type="dxa"/>
              <w:bottom w:w="95" w:type="dxa"/>
              <w:end w:w="130" w:type="dxa"/>
            </w:tcMar>
            <w:vAlign w:val="center"/>
          </w:tcPr>
          <w:p>
            <w:pPr>
              <w:spacing w:before="0" w:after="0" w:line="274" w:lineRule="auto"/>
            </w:pPr>
            <w:r>
              <w:rPr>
                <w:rFonts w:ascii="Arial" w:hAnsi="Arial"/>
                <w:b/>
                <w:color w:val="212F44"/>
                <w:sz w:val="20"/>
              </w:rPr>
              <w:t>04</w:t>
            </w:r>
          </w:p>
        </w:tc>
        <w:tc>
          <w:tcPr>
            <w:tcW w:type="dxa" w:w="2541"/>
            <w:tcMar>
              <w:top w:w="95" w:type="dxa"/>
              <w:start w:w="130" w:type="dxa"/>
              <w:bottom w:w="95" w:type="dxa"/>
              <w:end w:w="130" w:type="dxa"/>
            </w:tcMar>
            <w:vAlign w:val="center"/>
          </w:tcPr>
          <w:p>
            <w:pPr>
              <w:spacing w:before="0" w:after="0" w:line="274" w:lineRule="auto"/>
            </w:pPr>
            <w:r>
              <w:rPr>
                <w:rFonts w:ascii="Arial" w:hAnsi="Arial"/>
                <w:b w:val="0"/>
                <w:color w:val="212F44"/>
                <w:sz w:val="20"/>
              </w:rPr>
              <w:t>Weeks 4-6</w:t>
            </w:r>
          </w:p>
        </w:tc>
        <w:tc>
          <w:tcPr>
            <w:tcW w:type="dxa" w:w="2541"/>
            <w:tcMar>
              <w:top w:w="95" w:type="dxa"/>
              <w:start w:w="130" w:type="dxa"/>
              <w:bottom w:w="95" w:type="dxa"/>
              <w:end w:w="130" w:type="dxa"/>
            </w:tcMar>
            <w:vAlign w:val="center"/>
          </w:tcPr>
          <w:p>
            <w:pPr>
              <w:spacing w:before="0" w:after="0" w:line="274" w:lineRule="auto"/>
            </w:pPr>
            <w:r>
              <w:rPr>
                <w:rFonts w:ascii="Arial" w:hAnsi="Arial"/>
                <w:b w:val="0"/>
                <w:color w:val="212F44"/>
                <w:sz w:val="20"/>
              </w:rPr>
              <w:t>Testing, API validation, issue fixes, deployment preparation, and structured handover.</w:t>
            </w:r>
          </w:p>
        </w:tc>
        <w:tc>
          <w:tcPr>
            <w:tcW w:type="dxa" w:w="2541"/>
            <w:tcMar>
              <w:top w:w="95" w:type="dxa"/>
              <w:start w:w="130" w:type="dxa"/>
              <w:bottom w:w="95" w:type="dxa"/>
              <w:end w:w="130" w:type="dxa"/>
            </w:tcMar>
            <w:vAlign w:val="center"/>
          </w:tcPr>
          <w:p>
            <w:pPr>
              <w:spacing w:before="0" w:after="0" w:line="274" w:lineRule="auto"/>
            </w:pPr>
            <w:r>
              <w:rPr>
                <w:rFonts w:ascii="Arial" w:hAnsi="Arial"/>
                <w:b w:val="0"/>
                <w:color w:val="212F44"/>
                <w:sz w:val="20"/>
              </w:rPr>
              <w:t>Participate in testing and prepare final users for go-live.</w:t>
            </w:r>
          </w:p>
        </w:tc>
      </w:tr>
    </w:tbl>
    <w:p>
      <w:pPr>
        <w:spacing w:before="360" w:after="60" w:line="276" w:lineRule="auto"/>
      </w:pPr>
      <w:r>
        <w:rPr>
          <w:rFonts w:ascii="Arial" w:hAnsi="Arial"/>
          <w:b/>
          <w:color w:val="1F92FF"/>
          <w:sz w:val="18"/>
        </w:rPr>
        <w:t>KICKOFF</w:t>
      </w:r>
    </w:p>
    <w:p>
      <w:pPr>
        <w:spacing w:before="0" w:after="160" w:line="240" w:lineRule="auto"/>
      </w:pPr>
      <w:r>
        <w:rPr>
          <w:rFonts w:ascii="Arial" w:hAnsi="Arial"/>
          <w:b/>
          <w:color w:val="09111D"/>
          <w:sz w:val="36"/>
        </w:rPr>
        <w:t>What We Need From Client Side</w:t>
      </w:r>
    </w:p>
    <w:p>
      <w:pPr>
        <w:spacing w:before="0" w:after="160" w:line="298" w:lineRule="auto"/>
      </w:pPr>
      <w:r>
        <w:rPr>
          <w:rFonts w:ascii="Arial" w:hAnsi="Arial"/>
          <w:color w:val="212F44"/>
          <w:sz w:val="21"/>
        </w:rPr>
        <w:t>Projects move faster when ownership is clear, operating examples are available early, and approvals are not fragmented across multiple channels. The checklist below is the recommended starting pack for kickoff.</w:t>
      </w:r>
    </w:p>
    <w:tbl>
      <w:tblPr>
        <w:tblW w:type="auto" w:w="0"/>
        <w:jc w:val="left"/>
        <w:tblLayout w:type="fixed"/>
        <w:tblLook w:firstColumn="1" w:firstRow="1" w:lastColumn="0" w:lastRow="0" w:noHBand="0" w:noVBand="1" w:val="04A0"/>
        <w:tblBorders>
          <w:top w:val="single" w:sz="8" w:space="0" w:color="D9E5F5"/>
          <w:left w:val="single" w:sz="8" w:space="0" w:color="D9E5F5"/>
          <w:bottom w:val="single" w:sz="8" w:space="0" w:color="D9E5F5"/>
          <w:right w:val="single" w:sz="8" w:space="0" w:color="D9E5F5"/>
          <w:insideH w:val="single" w:sz="8" w:space="0" w:color="D9E5F5"/>
          <w:insideV w:val="single" w:sz="8" w:space="0" w:color="D9E5F5"/>
        </w:tblBorders>
      </w:tblPr>
      <w:tblGrid>
        <w:gridCol w:w="4896"/>
        <w:gridCol w:w="2088"/>
        <w:gridCol w:w="2232"/>
      </w:tblGrid>
      <w:tr>
        <w:trPr>
          <w:tblHeader w:val="true"/>
        </w:trPr>
        <w:tc>
          <w:tcPr>
            <w:tcW w:type="dxa" w:w="3389"/>
            <w:shd w:fill="EAF5FF" w:val="clear"/>
            <w:tcMar>
              <w:top w:w="110" w:type="dxa"/>
              <w:start w:w="130" w:type="dxa"/>
              <w:bottom w:w="110" w:type="dxa"/>
              <w:end w:w="130" w:type="dxa"/>
            </w:tcMar>
          </w:tcPr>
          <w:p>
            <w:pPr>
              <w:spacing w:before="0" w:after="0" w:line="276" w:lineRule="auto"/>
            </w:pPr>
            <w:r>
              <w:rPr>
                <w:rFonts w:ascii="Arial" w:hAnsi="Arial"/>
                <w:b/>
                <w:color w:val="09111D"/>
                <w:sz w:val="19"/>
              </w:rPr>
              <w:t>Required from client side</w:t>
            </w:r>
          </w:p>
        </w:tc>
        <w:tc>
          <w:tcPr>
            <w:tcW w:type="dxa" w:w="3389"/>
            <w:shd w:fill="EFF0FF" w:val="clear"/>
            <w:tcMar>
              <w:top w:w="110" w:type="dxa"/>
              <w:start w:w="130" w:type="dxa"/>
              <w:bottom w:w="110" w:type="dxa"/>
              <w:end w:w="130" w:type="dxa"/>
            </w:tcMar>
          </w:tcPr>
          <w:p>
            <w:pPr>
              <w:spacing w:before="0" w:after="0" w:line="276" w:lineRule="auto"/>
            </w:pPr>
            <w:r>
              <w:rPr>
                <w:rFonts w:ascii="Arial" w:hAnsi="Arial"/>
                <w:b/>
                <w:color w:val="09111D"/>
                <w:sz w:val="19"/>
              </w:rPr>
              <w:t>Suggested owner</w:t>
            </w:r>
          </w:p>
        </w:tc>
        <w:tc>
          <w:tcPr>
            <w:tcW w:type="dxa" w:w="3389"/>
            <w:shd w:fill="EAF5FF" w:val="clear"/>
            <w:tcMar>
              <w:top w:w="110" w:type="dxa"/>
              <w:start w:w="130" w:type="dxa"/>
              <w:bottom w:w="110" w:type="dxa"/>
              <w:end w:w="130" w:type="dxa"/>
            </w:tcMar>
          </w:tcPr>
          <w:p>
            <w:pPr>
              <w:spacing w:before="0" w:after="0" w:line="276" w:lineRule="auto"/>
            </w:pPr>
            <w:r>
              <w:rPr>
                <w:rFonts w:ascii="Arial" w:hAnsi="Arial"/>
                <w:b/>
                <w:color w:val="09111D"/>
                <w:sz w:val="19"/>
              </w:rPr>
              <w:t>Status</w:t>
            </w:r>
          </w:p>
        </w:tc>
      </w:tr>
      <w:tr>
        <w:tc>
          <w:tcPr>
            <w:tcW w:type="dxa" w:w="3389"/>
            <w:tcMar>
              <w:top w:w="95" w:type="dxa"/>
              <w:start w:w="130" w:type="dxa"/>
              <w:bottom w:w="95" w:type="dxa"/>
              <w:end w:w="130" w:type="dxa"/>
            </w:tcMar>
            <w:vAlign w:val="center"/>
          </w:tcPr>
          <w:p>
            <w:pPr>
              <w:spacing w:before="0" w:after="0" w:line="274" w:lineRule="auto"/>
            </w:pPr>
            <w:r>
              <w:rPr>
                <w:rFonts w:ascii="Arial" w:hAnsi="Arial"/>
                <w:color w:val="212F44"/>
                <w:sz w:val="20"/>
              </w:rPr>
              <w:t>Confirmed project contact and approval authority</w:t>
            </w:r>
          </w:p>
        </w:tc>
        <w:tc>
          <w:tcPr>
            <w:tcW w:type="dxa" w:w="3389"/>
            <w:tcMar>
              <w:top w:w="95" w:type="dxa"/>
              <w:start w:w="130" w:type="dxa"/>
              <w:bottom w:w="95" w:type="dxa"/>
              <w:end w:w="130" w:type="dxa"/>
            </w:tcMar>
            <w:vAlign w:val="center"/>
          </w:tcPr>
          <w:p>
            <w:pPr>
              <w:spacing w:before="0" w:after="0" w:line="274" w:lineRule="auto"/>
            </w:pPr>
            <w:r>
              <w:rPr>
                <w:rFonts w:ascii="Arial" w:hAnsi="Arial"/>
                <w:color w:val="212F44"/>
                <w:sz w:val="20"/>
              </w:rPr>
              <w:t>Management</w:t>
            </w:r>
          </w:p>
        </w:tc>
        <w:tc>
          <w:tcPr>
            <w:tcW w:type="dxa" w:w="3389"/>
            <w:tcMar>
              <w:top w:w="95" w:type="dxa"/>
              <w:start w:w="130" w:type="dxa"/>
              <w:bottom w:w="95" w:type="dxa"/>
              <w:end w:w="130" w:type="dxa"/>
            </w:tcMar>
            <w:vAlign w:val="center"/>
          </w:tcPr>
          <w:p>
            <w:pPr>
              <w:spacing w:before="0" w:after="0" w:line="274" w:lineRule="auto"/>
              <w:jc w:val="center"/>
            </w:pPr>
            <w:r>
              <w:rPr>
                <w:rFonts w:ascii="Arial" w:hAnsi="Arial"/>
                <w:color w:val="212F44"/>
                <w:sz w:val="20"/>
              </w:rPr>
              <w:t>[ ]</w:t>
            </w:r>
          </w:p>
        </w:tc>
      </w:tr>
      <w:tr>
        <w:tc>
          <w:tcPr>
            <w:tcW w:type="dxa" w:w="3389"/>
            <w:tcMar>
              <w:top w:w="95" w:type="dxa"/>
              <w:start w:w="130" w:type="dxa"/>
              <w:bottom w:w="95" w:type="dxa"/>
              <w:end w:w="130" w:type="dxa"/>
            </w:tcMar>
            <w:vAlign w:val="center"/>
          </w:tcPr>
          <w:p>
            <w:pPr>
              <w:spacing w:before="0" w:after="0" w:line="274" w:lineRule="auto"/>
            </w:pPr>
            <w:r>
              <w:rPr>
                <w:rFonts w:ascii="Arial" w:hAnsi="Arial"/>
                <w:color w:val="212F44"/>
                <w:sz w:val="20"/>
              </w:rPr>
              <w:t>Current workflow notes or live operating examples</w:t>
            </w:r>
          </w:p>
        </w:tc>
        <w:tc>
          <w:tcPr>
            <w:tcW w:type="dxa" w:w="3389"/>
            <w:tcMar>
              <w:top w:w="95" w:type="dxa"/>
              <w:start w:w="130" w:type="dxa"/>
              <w:bottom w:w="95" w:type="dxa"/>
              <w:end w:w="130" w:type="dxa"/>
            </w:tcMar>
            <w:vAlign w:val="center"/>
          </w:tcPr>
          <w:p>
            <w:pPr>
              <w:spacing w:before="0" w:after="0" w:line="274" w:lineRule="auto"/>
            </w:pPr>
            <w:r>
              <w:rPr>
                <w:rFonts w:ascii="Arial" w:hAnsi="Arial"/>
                <w:color w:val="212F44"/>
                <w:sz w:val="20"/>
              </w:rPr>
              <w:t>Operations</w:t>
            </w:r>
          </w:p>
        </w:tc>
        <w:tc>
          <w:tcPr>
            <w:tcW w:type="dxa" w:w="3389"/>
            <w:tcMar>
              <w:top w:w="95" w:type="dxa"/>
              <w:start w:w="130" w:type="dxa"/>
              <w:bottom w:w="95" w:type="dxa"/>
              <w:end w:w="130" w:type="dxa"/>
            </w:tcMar>
            <w:vAlign w:val="center"/>
          </w:tcPr>
          <w:p>
            <w:pPr>
              <w:spacing w:before="0" w:after="0" w:line="274" w:lineRule="auto"/>
              <w:jc w:val="center"/>
            </w:pPr>
            <w:r>
              <w:rPr>
                <w:rFonts w:ascii="Arial" w:hAnsi="Arial"/>
                <w:color w:val="212F44"/>
                <w:sz w:val="20"/>
              </w:rPr>
              <w:t>[ ]</w:t>
            </w:r>
          </w:p>
        </w:tc>
      </w:tr>
      <w:tr>
        <w:tc>
          <w:tcPr>
            <w:tcW w:type="dxa" w:w="3389"/>
            <w:tcMar>
              <w:top w:w="95" w:type="dxa"/>
              <w:start w:w="130" w:type="dxa"/>
              <w:bottom w:w="95" w:type="dxa"/>
              <w:end w:w="130" w:type="dxa"/>
            </w:tcMar>
            <w:vAlign w:val="center"/>
          </w:tcPr>
          <w:p>
            <w:pPr>
              <w:spacing w:before="0" w:after="0" w:line="274" w:lineRule="auto"/>
            </w:pPr>
            <w:r>
              <w:rPr>
                <w:rFonts w:ascii="Arial" w:hAnsi="Arial"/>
                <w:color w:val="212F44"/>
                <w:sz w:val="20"/>
              </w:rPr>
              <w:t>Reporting, dashboard, or analysis expectations</w:t>
            </w:r>
          </w:p>
        </w:tc>
        <w:tc>
          <w:tcPr>
            <w:tcW w:type="dxa" w:w="3389"/>
            <w:tcMar>
              <w:top w:w="95" w:type="dxa"/>
              <w:start w:w="130" w:type="dxa"/>
              <w:bottom w:w="95" w:type="dxa"/>
              <w:end w:w="130" w:type="dxa"/>
            </w:tcMar>
            <w:vAlign w:val="center"/>
          </w:tcPr>
          <w:p>
            <w:pPr>
              <w:spacing w:before="0" w:after="0" w:line="274" w:lineRule="auto"/>
            </w:pPr>
            <w:r>
              <w:rPr>
                <w:rFonts w:ascii="Arial" w:hAnsi="Arial"/>
                <w:color w:val="212F44"/>
                <w:sz w:val="20"/>
              </w:rPr>
              <w:t>Management / finance</w:t>
            </w:r>
          </w:p>
        </w:tc>
        <w:tc>
          <w:tcPr>
            <w:tcW w:type="dxa" w:w="3389"/>
            <w:tcMar>
              <w:top w:w="95" w:type="dxa"/>
              <w:start w:w="130" w:type="dxa"/>
              <w:bottom w:w="95" w:type="dxa"/>
              <w:end w:w="130" w:type="dxa"/>
            </w:tcMar>
            <w:vAlign w:val="center"/>
          </w:tcPr>
          <w:p>
            <w:pPr>
              <w:spacing w:before="0" w:after="0" w:line="274" w:lineRule="auto"/>
              <w:jc w:val="center"/>
            </w:pPr>
            <w:r>
              <w:rPr>
                <w:rFonts w:ascii="Arial" w:hAnsi="Arial"/>
                <w:color w:val="212F44"/>
                <w:sz w:val="20"/>
              </w:rPr>
              <w:t>[ ]</w:t>
            </w:r>
          </w:p>
        </w:tc>
      </w:tr>
      <w:tr>
        <w:tc>
          <w:tcPr>
            <w:tcW w:type="dxa" w:w="3389"/>
            <w:tcMar>
              <w:top w:w="95" w:type="dxa"/>
              <w:start w:w="130" w:type="dxa"/>
              <w:bottom w:w="95" w:type="dxa"/>
              <w:end w:w="130" w:type="dxa"/>
            </w:tcMar>
            <w:vAlign w:val="center"/>
          </w:tcPr>
          <w:p>
            <w:pPr>
              <w:spacing w:before="0" w:after="0" w:line="274" w:lineRule="auto"/>
            </w:pPr>
            <w:r>
              <w:rPr>
                <w:rFonts w:ascii="Arial" w:hAnsi="Arial"/>
                <w:color w:val="212F44"/>
                <w:sz w:val="20"/>
              </w:rPr>
              <w:t>Existing data samples, formats, or exports</w:t>
            </w:r>
          </w:p>
        </w:tc>
        <w:tc>
          <w:tcPr>
            <w:tcW w:type="dxa" w:w="3389"/>
            <w:tcMar>
              <w:top w:w="95" w:type="dxa"/>
              <w:start w:w="130" w:type="dxa"/>
              <w:bottom w:w="95" w:type="dxa"/>
              <w:end w:w="130" w:type="dxa"/>
            </w:tcMar>
            <w:vAlign w:val="center"/>
          </w:tcPr>
          <w:p>
            <w:pPr>
              <w:spacing w:before="0" w:after="0" w:line="274" w:lineRule="auto"/>
            </w:pPr>
            <w:r>
              <w:rPr>
                <w:rFonts w:ascii="Arial" w:hAnsi="Arial"/>
                <w:color w:val="212F44"/>
                <w:sz w:val="20"/>
              </w:rPr>
              <w:t>Client technical/data</w:t>
            </w:r>
          </w:p>
        </w:tc>
        <w:tc>
          <w:tcPr>
            <w:tcW w:type="dxa" w:w="3389"/>
            <w:tcMar>
              <w:top w:w="95" w:type="dxa"/>
              <w:start w:w="130" w:type="dxa"/>
              <w:bottom w:w="95" w:type="dxa"/>
              <w:end w:w="130" w:type="dxa"/>
            </w:tcMar>
            <w:vAlign w:val="center"/>
          </w:tcPr>
          <w:p>
            <w:pPr>
              <w:spacing w:before="0" w:after="0" w:line="274" w:lineRule="auto"/>
              <w:jc w:val="center"/>
            </w:pPr>
            <w:r>
              <w:rPr>
                <w:rFonts w:ascii="Arial" w:hAnsi="Arial"/>
                <w:color w:val="212F44"/>
                <w:sz w:val="20"/>
              </w:rPr>
              <w:t>[ ]</w:t>
            </w:r>
          </w:p>
        </w:tc>
      </w:tr>
      <w:tr>
        <w:tc>
          <w:tcPr>
            <w:tcW w:type="dxa" w:w="3389"/>
            <w:tcMar>
              <w:top w:w="95" w:type="dxa"/>
              <w:start w:w="130" w:type="dxa"/>
              <w:bottom w:w="95" w:type="dxa"/>
              <w:end w:w="130" w:type="dxa"/>
            </w:tcMar>
            <w:vAlign w:val="center"/>
          </w:tcPr>
          <w:p>
            <w:pPr>
              <w:spacing w:before="0" w:after="0" w:line="274" w:lineRule="auto"/>
            </w:pPr>
            <w:r>
              <w:rPr>
                <w:rFonts w:ascii="Arial" w:hAnsi="Arial"/>
                <w:color w:val="212F44"/>
                <w:sz w:val="20"/>
              </w:rPr>
              <w:t>Testing users and final sign-off participants</w:t>
            </w:r>
          </w:p>
        </w:tc>
        <w:tc>
          <w:tcPr>
            <w:tcW w:type="dxa" w:w="3389"/>
            <w:tcMar>
              <w:top w:w="95" w:type="dxa"/>
              <w:start w:w="130" w:type="dxa"/>
              <w:bottom w:w="95" w:type="dxa"/>
              <w:end w:w="130" w:type="dxa"/>
            </w:tcMar>
            <w:vAlign w:val="center"/>
          </w:tcPr>
          <w:p>
            <w:pPr>
              <w:spacing w:before="0" w:after="0" w:line="274" w:lineRule="auto"/>
            </w:pPr>
            <w:r>
              <w:rPr>
                <w:rFonts w:ascii="Arial" w:hAnsi="Arial"/>
                <w:color w:val="212F44"/>
                <w:sz w:val="20"/>
              </w:rPr>
              <w:t>Operations / management</w:t>
            </w:r>
          </w:p>
        </w:tc>
        <w:tc>
          <w:tcPr>
            <w:tcW w:type="dxa" w:w="3389"/>
            <w:tcMar>
              <w:top w:w="95" w:type="dxa"/>
              <w:start w:w="130" w:type="dxa"/>
              <w:bottom w:w="95" w:type="dxa"/>
              <w:end w:w="130" w:type="dxa"/>
            </w:tcMar>
            <w:vAlign w:val="center"/>
          </w:tcPr>
          <w:p>
            <w:pPr>
              <w:spacing w:before="0" w:after="0" w:line="274" w:lineRule="auto"/>
              <w:jc w:val="center"/>
            </w:pPr>
            <w:r>
              <w:rPr>
                <w:rFonts w:ascii="Arial" w:hAnsi="Arial"/>
                <w:color w:val="212F44"/>
                <w:sz w:val="20"/>
              </w:rPr>
              <w:t>[ ]</w:t>
            </w:r>
          </w:p>
        </w:tc>
      </w:tr>
    </w:tbl>
    <w:p>
      <w:pPr>
        <w:spacing w:before="360" w:after="60" w:line="276" w:lineRule="auto"/>
      </w:pPr>
      <w:r>
        <w:rPr>
          <w:rFonts w:ascii="Arial" w:hAnsi="Arial"/>
          <w:b/>
          <w:color w:val="1F92FF"/>
          <w:sz w:val="18"/>
        </w:rPr>
        <w:t>HANDOVER</w:t>
      </w:r>
    </w:p>
    <w:p>
      <w:pPr>
        <w:spacing w:before="0" w:after="160" w:line="240" w:lineRule="auto"/>
      </w:pPr>
      <w:r>
        <w:rPr>
          <w:rFonts w:ascii="Arial" w:hAnsi="Arial"/>
          <w:b/>
          <w:color w:val="09111D"/>
          <w:sz w:val="36"/>
        </w:rPr>
        <w:t>What Closure Typically Includes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9288"/>
      </w:tblGrid>
      <w:tr>
        <w:tc>
          <w:tcPr>
            <w:tcW w:type="dxa" w:w="10166"/>
            <w:shd w:fill="0F1C30" w:val="clear"/>
            <w:tcMar>
              <w:top w:w="160" w:type="dxa"/>
              <w:start w:w="180" w:type="dxa"/>
              <w:bottom w:w="160" w:type="dxa"/>
              <w:end w:w="180" w:type="dxa"/>
            </w:tcMar>
          </w:tcPr>
          <w:p>
            <w:pPr>
              <w:spacing w:before="0" w:after="120" w:line="276" w:lineRule="auto"/>
            </w:pPr>
            <w:r>
              <w:rPr>
                <w:rFonts w:ascii="Arial" w:hAnsi="Arial"/>
                <w:b/>
                <w:color w:val="A6F0FF"/>
                <w:sz w:val="22"/>
              </w:rPr>
              <w:t>Typical handover package</w:t>
            </w:r>
          </w:p>
          <w:p>
            <w:pPr>
              <w:pStyle w:val="ListBullet"/>
              <w:spacing w:before="0" w:after="60" w:line="274" w:lineRule="auto"/>
            </w:pPr>
            <w:r>
              <w:rPr>
                <w:rFonts w:ascii="Arial" w:hAnsi="Arial"/>
                <w:color w:val="DFEAFA"/>
                <w:sz w:val="20"/>
              </w:rPr>
              <w:t>Approved software build aligned to the agreed scope</w:t>
            </w:r>
          </w:p>
          <w:p>
            <w:pPr>
              <w:pStyle w:val="ListBullet"/>
              <w:spacing w:before="0" w:after="60" w:line="274" w:lineRule="auto"/>
            </w:pPr>
            <w:r>
              <w:rPr>
                <w:rFonts w:ascii="Arial" w:hAnsi="Arial"/>
                <w:color w:val="DFEAFA"/>
                <w:sz w:val="20"/>
              </w:rPr>
              <w:t>Deployment-ready environment and relevant database structure</w:t>
            </w:r>
          </w:p>
          <w:p>
            <w:pPr>
              <w:pStyle w:val="ListBullet"/>
              <w:spacing w:before="0" w:after="60" w:line="274" w:lineRule="auto"/>
            </w:pPr>
            <w:r>
              <w:rPr>
                <w:rFonts w:ascii="Arial" w:hAnsi="Arial"/>
                <w:color w:val="DFEAFA"/>
                <w:sz w:val="20"/>
              </w:rPr>
              <w:t>Role handling, access logic, and operating instructions where required</w:t>
            </w:r>
          </w:p>
          <w:p>
            <w:pPr>
              <w:pStyle w:val="ListBullet"/>
              <w:spacing w:before="0" w:after="60" w:line="274" w:lineRule="auto"/>
            </w:pPr>
            <w:r>
              <w:rPr>
                <w:rFonts w:ascii="Arial" w:hAnsi="Arial"/>
                <w:color w:val="DFEAFA"/>
                <w:sz w:val="20"/>
              </w:rPr>
              <w:t>Testing closure notes and final issue summary</w:t>
            </w:r>
          </w:p>
          <w:p>
            <w:pPr>
              <w:pStyle w:val="ListBullet"/>
              <w:spacing w:before="0" w:after="60" w:line="274" w:lineRule="auto"/>
            </w:pPr>
            <w:r>
              <w:rPr>
                <w:rFonts w:ascii="Arial" w:hAnsi="Arial"/>
                <w:color w:val="DFEAFA"/>
                <w:sz w:val="20"/>
              </w:rPr>
              <w:t>Defined support window after handover</w:t>
            </w:r>
          </w:p>
        </w:tc>
      </w:tr>
    </w:tbl>
    <w:p>
      <w:pPr>
        <w:spacing w:before="360" w:after="60" w:line="276" w:lineRule="auto"/>
      </w:pPr>
      <w:r>
        <w:rPr>
          <w:rFonts w:ascii="Arial" w:hAnsi="Arial"/>
          <w:b/>
          <w:color w:val="1F92FF"/>
          <w:sz w:val="18"/>
        </w:rPr>
        <w:t>FINAL NOTE</w:t>
      </w:r>
    </w:p>
    <w:p>
      <w:pPr>
        <w:spacing w:before="0" w:after="160" w:line="240" w:lineRule="auto"/>
      </w:pPr>
      <w:r>
        <w:rPr>
          <w:rFonts w:ascii="Arial" w:hAnsi="Arial"/>
          <w:b/>
          <w:color w:val="09111D"/>
          <w:sz w:val="36"/>
        </w:rPr>
        <w:t>Shared Responsibility Creates Better Software</w:t>
      </w:r>
    </w:p>
    <w:p>
      <w:pPr>
        <w:spacing w:before="0" w:after="60" w:line="298" w:lineRule="auto"/>
      </w:pPr>
      <w:r>
        <w:rPr>
          <w:rFonts w:ascii="Arial" w:hAnsi="Arial"/>
          <w:color w:val="212F44"/>
          <w:sz w:val="21"/>
        </w:rPr>
        <w:t>The purpose of this kit is not only to introduce the engagement, but to create a better working rhythm. When scope, approvals, testing, and handover are handled clearly from the start, the software becomes more stable, more useful, and more aligned with the way the business actually operates.</w:t>
      </w:r>
    </w:p>
    <w:p>
      <w:pPr>
        <w:spacing w:before="0" w:after="0" w:line="298" w:lineRule="auto"/>
      </w:pPr>
      <w:r>
        <w:rPr>
          <w:rFonts w:ascii="Arial" w:hAnsi="Arial"/>
          <w:color w:val="212F44"/>
          <w:sz w:val="21"/>
        </w:rPr>
        <w:t>Use this document as the working orientation pack for the kickoff discussion, and update the placeholders once the client-specific project details are confirmed.</w:t>
      </w:r>
    </w:p>
    <w:sectPr w:rsidR="00FC693F" w:rsidRPr="0006063C" w:rsidSect="00034616">
      <w:headerReference w:type="default" r:id="rId9"/>
      <w:footerReference w:type="default" r:id="rId10"/>
      <w:pgSz w:w="12240" w:h="15840"/>
      <w:pgMar w:top="936" w:right="1037" w:bottom="936" w:left="1037" w:header="49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76" w:lineRule="auto"/>
      <w:jc w:val="right"/>
    </w:pPr>
    <w:r>
      <w:rPr>
        <w:rFonts w:ascii="Arial" w:hAnsi="Arial"/>
        <w:color w:val="4A5B74"/>
        <w:sz w:val="18"/>
      </w:rPr>
      <w:t xml:space="preserve">Page </w:t>
    </w:r>
    <w:fldSimple w:instr="PAGE">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76" w:lineRule="auto"/>
    </w:pPr>
    <w:r>
      <w:rPr>
        <w:rFonts w:ascii="Arial" w:hAnsi="Arial"/>
        <w:b/>
        <w:color w:val="09111D"/>
        <w:sz w:val="19"/>
      </w:rPr>
      <w:t>SRS LOGICS</w:t>
    </w:r>
    <w:r>
      <w:rPr>
        <w:rFonts w:ascii="Arial" w:hAnsi="Arial"/>
        <w:color w:val="4A5B74"/>
        <w:sz w:val="19"/>
      </w:rPr>
      <w:t xml:space="preserve">  |  Client Welcome Kit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