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4376" w14:textId="08CCADE5" w:rsidR="00C522ED" w:rsidRDefault="00C522ED">
      <w:pPr>
        <w:pStyle w:val="BodyText"/>
        <w:ind w:left="45"/>
        <w:rPr>
          <w:rFonts w:ascii="Times New Roman"/>
          <w:sz w:val="20"/>
        </w:rPr>
      </w:pPr>
    </w:p>
    <w:p w14:paraId="459FEC4B" w14:textId="77777777" w:rsidR="00C522ED" w:rsidRDefault="00000000">
      <w:pPr>
        <w:pStyle w:val="Title"/>
        <w:spacing w:line="276" w:lineRule="auto"/>
      </w:pPr>
      <w:r>
        <w:rPr>
          <w:spacing w:val="-6"/>
        </w:rPr>
        <w:t>A</w:t>
      </w:r>
      <w:r>
        <w:rPr>
          <w:spacing w:val="-11"/>
        </w:rPr>
        <w:t xml:space="preserve"> </w:t>
      </w:r>
      <w:r>
        <w:rPr>
          <w:spacing w:val="-6"/>
        </w:rPr>
        <w:t>Comprehensive</w:t>
      </w:r>
      <w:r>
        <w:rPr>
          <w:spacing w:val="-8"/>
        </w:rPr>
        <w:t xml:space="preserve"> </w:t>
      </w:r>
      <w:r>
        <w:rPr>
          <w:spacing w:val="-6"/>
        </w:rPr>
        <w:t>Review</w:t>
      </w:r>
      <w:r>
        <w:rPr>
          <w:spacing w:val="-11"/>
        </w:rPr>
        <w:t xml:space="preserve"> </w:t>
      </w:r>
      <w:r>
        <w:rPr>
          <w:spacing w:val="-6"/>
        </w:rPr>
        <w:t>of</w:t>
      </w:r>
      <w:r>
        <w:rPr>
          <w:spacing w:val="-8"/>
        </w:rPr>
        <w:t xml:space="preserve"> </w:t>
      </w:r>
      <w:r>
        <w:rPr>
          <w:spacing w:val="-6"/>
        </w:rPr>
        <w:t>Artificial</w:t>
      </w:r>
      <w:r>
        <w:rPr>
          <w:spacing w:val="-10"/>
        </w:rPr>
        <w:t xml:space="preserve"> </w:t>
      </w:r>
      <w:r>
        <w:rPr>
          <w:spacing w:val="-6"/>
        </w:rPr>
        <w:t>Intelligence</w:t>
      </w:r>
      <w:r>
        <w:rPr>
          <w:spacing w:val="-10"/>
        </w:rPr>
        <w:t xml:space="preserve"> </w:t>
      </w:r>
      <w:r>
        <w:rPr>
          <w:spacing w:val="-6"/>
        </w:rPr>
        <w:t>and</w:t>
      </w:r>
      <w:r>
        <w:rPr>
          <w:spacing w:val="-10"/>
        </w:rPr>
        <w:t xml:space="preserve"> </w:t>
      </w:r>
      <w:r>
        <w:rPr>
          <w:spacing w:val="-6"/>
        </w:rPr>
        <w:t>Machine</w:t>
      </w:r>
      <w:r>
        <w:rPr>
          <w:spacing w:val="-8"/>
        </w:rPr>
        <w:t xml:space="preserve"> </w:t>
      </w:r>
      <w:r>
        <w:rPr>
          <w:spacing w:val="-6"/>
        </w:rPr>
        <w:t>Learning :</w:t>
      </w:r>
      <w:r>
        <w:rPr>
          <w:spacing w:val="-10"/>
        </w:rPr>
        <w:t xml:space="preserve"> </w:t>
      </w:r>
      <w:r>
        <w:rPr>
          <w:spacing w:val="-6"/>
        </w:rPr>
        <w:t xml:space="preserve">Concepts, </w:t>
      </w:r>
      <w:r>
        <w:t>Trends, and Applications</w:t>
      </w:r>
    </w:p>
    <w:p w14:paraId="083B0C4C" w14:textId="77777777" w:rsidR="00596F49" w:rsidRDefault="00596F49" w:rsidP="00596F49">
      <w:pPr>
        <w:pStyle w:val="Title"/>
        <w:spacing w:line="276" w:lineRule="auto"/>
        <w:rPr>
          <w:rFonts w:ascii="Sylfaen" w:eastAsia="Sylfaen" w:hAnsi="Sylfaen" w:cs="Sylfaen"/>
          <w:b w:val="0"/>
          <w:bCs w:val="0"/>
          <w:sz w:val="22"/>
          <w:szCs w:val="22"/>
        </w:rPr>
        <w:sectPr w:rsidR="00596F49">
          <w:headerReference w:type="even" r:id="rId7"/>
          <w:headerReference w:type="default" r:id="rId8"/>
          <w:footerReference w:type="even" r:id="rId9"/>
          <w:footerReference w:type="default" r:id="rId10"/>
          <w:headerReference w:type="first" r:id="rId11"/>
          <w:footerReference w:type="first" r:id="rId12"/>
          <w:type w:val="continuous"/>
          <w:pgSz w:w="11910" w:h="16840"/>
          <w:pgMar w:top="1060" w:right="708" w:bottom="280" w:left="708" w:header="720" w:footer="720" w:gutter="0"/>
          <w:cols w:space="720"/>
        </w:sectPr>
      </w:pPr>
    </w:p>
    <w:p w14:paraId="7A4D38E9" w14:textId="77777777"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Tanya Suratkal</w:t>
      </w:r>
    </w:p>
    <w:p w14:paraId="7F8D410C" w14:textId="0730F327"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Department of CSE</w:t>
      </w:r>
    </w:p>
    <w:p w14:paraId="690553AE" w14:textId="7BECD364"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Lovely Professional University</w:t>
      </w:r>
    </w:p>
    <w:p w14:paraId="0C6830D3" w14:textId="47769452"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Email: tanyasured49@gmail.com</w:t>
      </w:r>
    </w:p>
    <w:p w14:paraId="1425D6BD" w14:textId="77777777" w:rsidR="00596F49" w:rsidRPr="00596F49" w:rsidRDefault="00596F49" w:rsidP="00596F49">
      <w:pPr>
        <w:pStyle w:val="Title"/>
        <w:spacing w:before="0"/>
        <w:rPr>
          <w:rFonts w:ascii="Sylfaen" w:eastAsia="Sylfaen" w:hAnsi="Sylfaen" w:cs="Sylfaen"/>
          <w:b w:val="0"/>
          <w:bCs w:val="0"/>
          <w:sz w:val="22"/>
          <w:szCs w:val="22"/>
        </w:rPr>
      </w:pPr>
    </w:p>
    <w:p w14:paraId="0AABBA19" w14:textId="61595AC1" w:rsidR="00596F49" w:rsidRPr="00596F49" w:rsidRDefault="00596F49" w:rsidP="00596F49">
      <w:pPr>
        <w:pStyle w:val="Title"/>
        <w:spacing w:before="0"/>
        <w:ind w:hanging="151"/>
        <w:rPr>
          <w:rFonts w:ascii="Sylfaen" w:eastAsia="Sylfaen" w:hAnsi="Sylfaen" w:cs="Sylfaen"/>
          <w:b w:val="0"/>
          <w:bCs w:val="0"/>
          <w:sz w:val="22"/>
          <w:szCs w:val="22"/>
        </w:rPr>
      </w:pPr>
      <w:r w:rsidRPr="00596F49">
        <w:rPr>
          <w:rFonts w:ascii="Sylfaen" w:eastAsia="Sylfaen" w:hAnsi="Sylfaen" w:cs="Sylfaen"/>
          <w:b w:val="0"/>
          <w:bCs w:val="0"/>
          <w:sz w:val="22"/>
          <w:szCs w:val="22"/>
        </w:rPr>
        <w:t>Kallakuri SSS Lakshmi</w:t>
      </w:r>
      <w:r>
        <w:rPr>
          <w:rFonts w:ascii="Sylfaen" w:eastAsia="Sylfaen" w:hAnsi="Sylfaen" w:cs="Sylfaen"/>
          <w:b w:val="0"/>
          <w:bCs w:val="0"/>
          <w:sz w:val="22"/>
          <w:szCs w:val="22"/>
        </w:rPr>
        <w:t xml:space="preserve"> B</w:t>
      </w:r>
      <w:r w:rsidRPr="00596F49">
        <w:rPr>
          <w:rFonts w:ascii="Sylfaen" w:eastAsia="Sylfaen" w:hAnsi="Sylfaen" w:cs="Sylfaen"/>
          <w:b w:val="0"/>
          <w:bCs w:val="0"/>
          <w:sz w:val="22"/>
          <w:szCs w:val="22"/>
        </w:rPr>
        <w:t>haradwaj</w:t>
      </w:r>
    </w:p>
    <w:p w14:paraId="790F15B7" w14:textId="2B24E455"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Department of CSE</w:t>
      </w:r>
    </w:p>
    <w:p w14:paraId="52C0F601" w14:textId="415862DA"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Lovely Professional University</w:t>
      </w:r>
    </w:p>
    <w:p w14:paraId="4FAA6D30" w14:textId="76D51417"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Email: klvklb@gmail.com</w:t>
      </w:r>
    </w:p>
    <w:p w14:paraId="582BA8B2" w14:textId="77777777" w:rsidR="00596F49" w:rsidRPr="00596F49" w:rsidRDefault="00596F49" w:rsidP="00596F49">
      <w:pPr>
        <w:pStyle w:val="Title"/>
        <w:spacing w:before="0"/>
        <w:rPr>
          <w:rFonts w:ascii="Sylfaen" w:eastAsia="Sylfaen" w:hAnsi="Sylfaen" w:cs="Sylfaen"/>
          <w:b w:val="0"/>
          <w:bCs w:val="0"/>
          <w:sz w:val="22"/>
          <w:szCs w:val="22"/>
        </w:rPr>
      </w:pPr>
    </w:p>
    <w:p w14:paraId="1DF3A1D6" w14:textId="77777777"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Rudrax Kongbrailatpam</w:t>
      </w:r>
    </w:p>
    <w:p w14:paraId="26945B2C" w14:textId="77777777"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Department of CSE</w:t>
      </w:r>
    </w:p>
    <w:p w14:paraId="247A64F4" w14:textId="6770C0D2" w:rsidR="00596F49" w:rsidRPr="00596F49" w:rsidRDefault="00596F49" w:rsidP="00596F49">
      <w:pPr>
        <w:pStyle w:val="Title"/>
        <w:spacing w:before="0"/>
        <w:rPr>
          <w:rFonts w:ascii="Sylfaen" w:eastAsia="Sylfaen" w:hAnsi="Sylfaen" w:cs="Sylfaen"/>
          <w:b w:val="0"/>
          <w:bCs w:val="0"/>
          <w:sz w:val="22"/>
          <w:szCs w:val="22"/>
        </w:rPr>
      </w:pPr>
      <w:r w:rsidRPr="00596F49">
        <w:rPr>
          <w:rFonts w:ascii="Sylfaen" w:eastAsia="Sylfaen" w:hAnsi="Sylfaen" w:cs="Sylfaen"/>
          <w:b w:val="0"/>
          <w:bCs w:val="0"/>
          <w:sz w:val="22"/>
          <w:szCs w:val="22"/>
        </w:rPr>
        <w:t>Lovely Professional University</w:t>
      </w:r>
    </w:p>
    <w:p w14:paraId="5C536AB1" w14:textId="6BA22BE7" w:rsidR="00596F49" w:rsidRDefault="00596F49" w:rsidP="00596F49">
      <w:pPr>
        <w:pStyle w:val="BodyText"/>
        <w:jc w:val="center"/>
        <w:sectPr w:rsidR="00596F49" w:rsidSect="00596F49">
          <w:type w:val="continuous"/>
          <w:pgSz w:w="11910" w:h="16840"/>
          <w:pgMar w:top="1060" w:right="708" w:bottom="280" w:left="708" w:header="720" w:footer="720" w:gutter="0"/>
          <w:cols w:num="3" w:space="720"/>
        </w:sectPr>
      </w:pPr>
      <w:r w:rsidRPr="00596F49">
        <w:t xml:space="preserve">Email: krudrax16@gmail.com   </w:t>
      </w:r>
    </w:p>
    <w:p w14:paraId="2155A434" w14:textId="067FA070" w:rsidR="00C522ED" w:rsidRDefault="00AE5F8F" w:rsidP="00596F49">
      <w:pPr>
        <w:pStyle w:val="BodyText"/>
      </w:pPr>
      <w:r>
        <w:rPr>
          <w:noProof/>
        </w:rPr>
        <mc:AlternateContent>
          <mc:Choice Requires="wps">
            <w:drawing>
              <wp:anchor distT="0" distB="0" distL="0" distR="0" simplePos="0" relativeHeight="251655168" behindDoc="0" locked="0" layoutInCell="1" allowOverlap="1" wp14:anchorId="07B55168" wp14:editId="55FFA7B6">
                <wp:simplePos x="0" y="0"/>
                <wp:positionH relativeFrom="page">
                  <wp:posOffset>477982</wp:posOffset>
                </wp:positionH>
                <wp:positionV relativeFrom="paragraph">
                  <wp:posOffset>30076</wp:posOffset>
                </wp:positionV>
                <wp:extent cx="6602095" cy="6303818"/>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2095" cy="6303818"/>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910"/>
                              <w:gridCol w:w="238"/>
                              <w:gridCol w:w="7129"/>
                            </w:tblGrid>
                            <w:tr w:rsidR="00C522ED" w14:paraId="67F8799A" w14:textId="77777777" w:rsidTr="00AE5F8F">
                              <w:trPr>
                                <w:trHeight w:val="530"/>
                              </w:trPr>
                              <w:tc>
                                <w:tcPr>
                                  <w:tcW w:w="2910" w:type="dxa"/>
                                </w:tcPr>
                                <w:p w14:paraId="48995098" w14:textId="68CECCF5" w:rsidR="00C522ED" w:rsidRDefault="00C522ED">
                                  <w:pPr>
                                    <w:pStyle w:val="TableParagraph"/>
                                    <w:spacing w:before="121"/>
                                    <w:ind w:left="7"/>
                                  </w:pPr>
                                </w:p>
                              </w:tc>
                              <w:tc>
                                <w:tcPr>
                                  <w:tcW w:w="238" w:type="dxa"/>
                                  <w:tcBorders>
                                    <w:top w:val="single" w:sz="4" w:space="0" w:color="000000"/>
                                  </w:tcBorders>
                                </w:tcPr>
                                <w:p w14:paraId="3CB5AF09" w14:textId="77777777" w:rsidR="00C522ED" w:rsidRDefault="00C522ED">
                                  <w:pPr>
                                    <w:pStyle w:val="TableParagraph"/>
                                    <w:spacing w:before="0"/>
                                    <w:ind w:left="0"/>
                                    <w:rPr>
                                      <w:rFonts w:ascii="Times New Roman"/>
                                    </w:rPr>
                                  </w:pPr>
                                </w:p>
                              </w:tc>
                              <w:tc>
                                <w:tcPr>
                                  <w:tcW w:w="7129" w:type="dxa"/>
                                  <w:tcBorders>
                                    <w:top w:val="single" w:sz="4" w:space="0" w:color="000000"/>
                                    <w:bottom w:val="single" w:sz="4" w:space="0" w:color="000000"/>
                                  </w:tcBorders>
                                </w:tcPr>
                                <w:p w14:paraId="2108C19D" w14:textId="77777777" w:rsidR="00C522ED" w:rsidRDefault="00000000">
                                  <w:pPr>
                                    <w:pStyle w:val="TableParagraph"/>
                                    <w:spacing w:before="121"/>
                                    <w:ind w:left="1"/>
                                  </w:pPr>
                                  <w:r>
                                    <w:t>A</w:t>
                                  </w:r>
                                  <w:r>
                                    <w:rPr>
                                      <w:spacing w:val="-11"/>
                                    </w:rPr>
                                    <w:t xml:space="preserve"> </w:t>
                                  </w:r>
                                  <w:r>
                                    <w:t>B</w:t>
                                  </w:r>
                                  <w:r>
                                    <w:rPr>
                                      <w:spacing w:val="-11"/>
                                    </w:rPr>
                                    <w:t xml:space="preserve"> </w:t>
                                  </w:r>
                                  <w:r>
                                    <w:t>S</w:t>
                                  </w:r>
                                  <w:r>
                                    <w:rPr>
                                      <w:spacing w:val="-10"/>
                                    </w:rPr>
                                    <w:t xml:space="preserve"> </w:t>
                                  </w:r>
                                  <w:r>
                                    <w:t>T</w:t>
                                  </w:r>
                                  <w:r>
                                    <w:rPr>
                                      <w:spacing w:val="-9"/>
                                    </w:rPr>
                                    <w:t xml:space="preserve"> </w:t>
                                  </w:r>
                                  <w:r>
                                    <w:t>R</w:t>
                                  </w:r>
                                  <w:r>
                                    <w:rPr>
                                      <w:spacing w:val="-10"/>
                                    </w:rPr>
                                    <w:t xml:space="preserve"> </w:t>
                                  </w:r>
                                  <w:r>
                                    <w:t>A</w:t>
                                  </w:r>
                                  <w:r>
                                    <w:rPr>
                                      <w:spacing w:val="-13"/>
                                    </w:rPr>
                                    <w:t xml:space="preserve"> </w:t>
                                  </w:r>
                                  <w:r>
                                    <w:t>C</w:t>
                                  </w:r>
                                  <w:r>
                                    <w:rPr>
                                      <w:spacing w:val="-11"/>
                                    </w:rPr>
                                    <w:t xml:space="preserve"> </w:t>
                                  </w:r>
                                  <w:r>
                                    <w:rPr>
                                      <w:spacing w:val="-10"/>
                                    </w:rPr>
                                    <w:t>T</w:t>
                                  </w:r>
                                </w:p>
                              </w:tc>
                            </w:tr>
                            <w:tr w:rsidR="00C522ED" w14:paraId="29AD202A" w14:textId="77777777" w:rsidTr="00AE5F8F">
                              <w:trPr>
                                <w:trHeight w:val="1730"/>
                              </w:trPr>
                              <w:tc>
                                <w:tcPr>
                                  <w:tcW w:w="2910" w:type="dxa"/>
                                </w:tcPr>
                                <w:p w14:paraId="29502DFC" w14:textId="368D60FE" w:rsidR="00C522ED" w:rsidRDefault="00C522ED">
                                  <w:pPr>
                                    <w:pStyle w:val="TableParagraph"/>
                                    <w:spacing w:before="0" w:line="209" w:lineRule="exact"/>
                                  </w:pPr>
                                </w:p>
                              </w:tc>
                              <w:tc>
                                <w:tcPr>
                                  <w:tcW w:w="238" w:type="dxa"/>
                                  <w:vMerge w:val="restart"/>
                                  <w:tcBorders>
                                    <w:bottom w:val="single" w:sz="4" w:space="0" w:color="000000"/>
                                  </w:tcBorders>
                                </w:tcPr>
                                <w:p w14:paraId="0400D56C" w14:textId="77777777" w:rsidR="00C522ED" w:rsidRDefault="00C522ED">
                                  <w:pPr>
                                    <w:pStyle w:val="TableParagraph"/>
                                    <w:spacing w:before="0"/>
                                    <w:ind w:left="0"/>
                                    <w:rPr>
                                      <w:rFonts w:ascii="Times New Roman"/>
                                    </w:rPr>
                                  </w:pPr>
                                </w:p>
                              </w:tc>
                              <w:tc>
                                <w:tcPr>
                                  <w:tcW w:w="7129" w:type="dxa"/>
                                  <w:vMerge w:val="restart"/>
                                  <w:tcBorders>
                                    <w:top w:val="single" w:sz="4" w:space="0" w:color="000000"/>
                                    <w:bottom w:val="single" w:sz="4" w:space="0" w:color="000000"/>
                                  </w:tcBorders>
                                </w:tcPr>
                                <w:p w14:paraId="337F9FA8" w14:textId="77777777" w:rsidR="00E52671" w:rsidRDefault="00E52671">
                                  <w:pPr>
                                    <w:pStyle w:val="TableParagraph"/>
                                    <w:spacing w:line="276" w:lineRule="auto"/>
                                    <w:ind w:left="107" w:right="107"/>
                                    <w:jc w:val="both"/>
                                  </w:pPr>
                                  <w:r w:rsidRPr="00E52671">
                                    <w:t xml:space="preserve">The present paper outlines a multi-label machine learning approach to predict risk associated with multiple chronic diseases by combining existing predictive models into a single unified predictive system. The development of chronic diseases such as metabolic disease and cardiovascular diseases usually occurs through multiple interrelated </w:t>
                                  </w:r>
                                  <w:proofErr w:type="gramStart"/>
                                  <w:r w:rsidRPr="00E52671">
                                    <w:t>systems</w:t>
                                  </w:r>
                                  <w:proofErr w:type="gramEnd"/>
                                  <w:r w:rsidRPr="00E52671">
                                    <w:t xml:space="preserve"> so it is important to have a mechanism that captures these relationships for effective preventative care. A combined predictive model of 12 chronic diseases was developed using the 2023 dataset from the Behavioral Risk Factor Surveillance System (BRFSS) and uses many of the available characteristics of the dataset through extensive data fusion and feature engineering techniques, as well as the use of temporal trends, interaction terms, and aggregation or composite vulnerability scores. Also, robust data-leakage detection techniques have been used to verify and document that the performance of the model would be representative of a true prospective test of the model. The final architecture uses optimized XGBoost classifiers in a Binary Relevance workflow. The model was assessed using standard performance metrics and is reported on in detail, including using SHAP analysis for feature interpretability related to each disease. Overall, the predictive accuracy of the model was robust for metabolic and cardiovascular diseases but considerably lower on neurological diseases with lower prevalence; however, the application of multi-domain datasets to support the identification of individual composite vulnerabilities provides a significant benefit of being able to create predictive health assessments that will allow for earlier interventions and personalized healthcare delivery.</w:t>
                                  </w:r>
                                </w:p>
                                <w:p w14:paraId="371E8A51" w14:textId="2DF6E026" w:rsidR="00C522ED" w:rsidRDefault="00000000">
                                  <w:pPr>
                                    <w:pStyle w:val="TableParagraph"/>
                                    <w:spacing w:before="0"/>
                                    <w:ind w:left="107"/>
                                    <w:jc w:val="both"/>
                                  </w:pPr>
                                  <w:r>
                                    <w:t xml:space="preserve">Keywords : </w:t>
                                  </w:r>
                                  <w:r w:rsidR="00E52671" w:rsidRPr="00E52671">
                                    <w:t>Multi-label classification; Gradient boosting; Feature engineering; Class imbalance; Model interpretability; SHAP; Binary relevance; Healthcare machine learning; Data leakage detection; XGBoost</w:t>
                                  </w:r>
                                </w:p>
                              </w:tc>
                            </w:tr>
                            <w:tr w:rsidR="00C522ED" w14:paraId="1DBBA7F2" w14:textId="77777777" w:rsidTr="00AE5F8F">
                              <w:trPr>
                                <w:trHeight w:val="6256"/>
                              </w:trPr>
                              <w:tc>
                                <w:tcPr>
                                  <w:tcW w:w="2910" w:type="dxa"/>
                                </w:tcPr>
                                <w:p w14:paraId="039BBA71" w14:textId="047EF2EB" w:rsidR="00C522ED" w:rsidRDefault="00C522ED">
                                  <w:pPr>
                                    <w:pStyle w:val="TableParagraph"/>
                                    <w:spacing w:before="0" w:line="276" w:lineRule="auto"/>
                                    <w:ind w:right="1438"/>
                                  </w:pPr>
                                </w:p>
                              </w:tc>
                              <w:tc>
                                <w:tcPr>
                                  <w:tcW w:w="238" w:type="dxa"/>
                                  <w:vMerge/>
                                  <w:tcBorders>
                                    <w:top w:val="nil"/>
                                    <w:bottom w:val="single" w:sz="4" w:space="0" w:color="000000"/>
                                  </w:tcBorders>
                                </w:tcPr>
                                <w:p w14:paraId="084C2984" w14:textId="77777777" w:rsidR="00C522ED" w:rsidRDefault="00C522ED">
                                  <w:pPr>
                                    <w:rPr>
                                      <w:sz w:val="2"/>
                                      <w:szCs w:val="2"/>
                                    </w:rPr>
                                  </w:pPr>
                                </w:p>
                              </w:tc>
                              <w:tc>
                                <w:tcPr>
                                  <w:tcW w:w="7129" w:type="dxa"/>
                                  <w:vMerge/>
                                  <w:tcBorders>
                                    <w:top w:val="nil"/>
                                    <w:bottom w:val="single" w:sz="4" w:space="0" w:color="000000"/>
                                  </w:tcBorders>
                                </w:tcPr>
                                <w:p w14:paraId="6CE163B9" w14:textId="77777777" w:rsidR="00C522ED" w:rsidRDefault="00C522ED">
                                  <w:pPr>
                                    <w:rPr>
                                      <w:sz w:val="2"/>
                                      <w:szCs w:val="2"/>
                                    </w:rPr>
                                  </w:pPr>
                                </w:p>
                              </w:tc>
                            </w:tr>
                          </w:tbl>
                          <w:p w14:paraId="4326AC95" w14:textId="77777777" w:rsidR="00C522ED" w:rsidRDefault="00C522ED">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7B55168" id="_x0000_t202" coordsize="21600,21600" o:spt="202" path="m,l,21600r21600,l21600,xe">
                <v:stroke joinstyle="miter"/>
                <v:path gradientshapeok="t" o:connecttype="rect"/>
              </v:shapetype>
              <v:shape id="Textbox 9" o:spid="_x0000_s1026" type="#_x0000_t202" style="position:absolute;margin-left:37.65pt;margin-top:2.35pt;width:519.85pt;height:496.3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910"/>
                        <w:gridCol w:w="238"/>
                        <w:gridCol w:w="7129"/>
                      </w:tblGrid>
                      <w:tr w:rsidR="00C522ED" w14:paraId="67F8799A" w14:textId="77777777" w:rsidTr="00AE5F8F">
                        <w:trPr>
                          <w:trHeight w:val="530"/>
                        </w:trPr>
                        <w:tc>
                          <w:tcPr>
                            <w:tcW w:w="2910" w:type="dxa"/>
                          </w:tcPr>
                          <w:p w14:paraId="48995098" w14:textId="68CECCF5" w:rsidR="00C522ED" w:rsidRDefault="00C522ED">
                            <w:pPr>
                              <w:pStyle w:val="TableParagraph"/>
                              <w:spacing w:before="121"/>
                              <w:ind w:left="7"/>
                            </w:pPr>
                          </w:p>
                        </w:tc>
                        <w:tc>
                          <w:tcPr>
                            <w:tcW w:w="238" w:type="dxa"/>
                            <w:tcBorders>
                              <w:top w:val="single" w:sz="4" w:space="0" w:color="000000"/>
                            </w:tcBorders>
                          </w:tcPr>
                          <w:p w14:paraId="3CB5AF09" w14:textId="77777777" w:rsidR="00C522ED" w:rsidRDefault="00C522ED">
                            <w:pPr>
                              <w:pStyle w:val="TableParagraph"/>
                              <w:spacing w:before="0"/>
                              <w:ind w:left="0"/>
                              <w:rPr>
                                <w:rFonts w:ascii="Times New Roman"/>
                              </w:rPr>
                            </w:pPr>
                          </w:p>
                        </w:tc>
                        <w:tc>
                          <w:tcPr>
                            <w:tcW w:w="7129" w:type="dxa"/>
                            <w:tcBorders>
                              <w:top w:val="single" w:sz="4" w:space="0" w:color="000000"/>
                              <w:bottom w:val="single" w:sz="4" w:space="0" w:color="000000"/>
                            </w:tcBorders>
                          </w:tcPr>
                          <w:p w14:paraId="2108C19D" w14:textId="77777777" w:rsidR="00C522ED" w:rsidRDefault="00000000">
                            <w:pPr>
                              <w:pStyle w:val="TableParagraph"/>
                              <w:spacing w:before="121"/>
                              <w:ind w:left="1"/>
                            </w:pPr>
                            <w:r>
                              <w:t>A</w:t>
                            </w:r>
                            <w:r>
                              <w:rPr>
                                <w:spacing w:val="-11"/>
                              </w:rPr>
                              <w:t xml:space="preserve"> </w:t>
                            </w:r>
                            <w:r>
                              <w:t>B</w:t>
                            </w:r>
                            <w:r>
                              <w:rPr>
                                <w:spacing w:val="-11"/>
                              </w:rPr>
                              <w:t xml:space="preserve"> </w:t>
                            </w:r>
                            <w:r>
                              <w:t>S</w:t>
                            </w:r>
                            <w:r>
                              <w:rPr>
                                <w:spacing w:val="-10"/>
                              </w:rPr>
                              <w:t xml:space="preserve"> </w:t>
                            </w:r>
                            <w:r>
                              <w:t>T</w:t>
                            </w:r>
                            <w:r>
                              <w:rPr>
                                <w:spacing w:val="-9"/>
                              </w:rPr>
                              <w:t xml:space="preserve"> </w:t>
                            </w:r>
                            <w:r>
                              <w:t>R</w:t>
                            </w:r>
                            <w:r>
                              <w:rPr>
                                <w:spacing w:val="-10"/>
                              </w:rPr>
                              <w:t xml:space="preserve"> </w:t>
                            </w:r>
                            <w:r>
                              <w:t>A</w:t>
                            </w:r>
                            <w:r>
                              <w:rPr>
                                <w:spacing w:val="-13"/>
                              </w:rPr>
                              <w:t xml:space="preserve"> </w:t>
                            </w:r>
                            <w:r>
                              <w:t>C</w:t>
                            </w:r>
                            <w:r>
                              <w:rPr>
                                <w:spacing w:val="-11"/>
                              </w:rPr>
                              <w:t xml:space="preserve"> </w:t>
                            </w:r>
                            <w:r>
                              <w:rPr>
                                <w:spacing w:val="-10"/>
                              </w:rPr>
                              <w:t>T</w:t>
                            </w:r>
                          </w:p>
                        </w:tc>
                      </w:tr>
                      <w:tr w:rsidR="00C522ED" w14:paraId="29AD202A" w14:textId="77777777" w:rsidTr="00AE5F8F">
                        <w:trPr>
                          <w:trHeight w:val="1730"/>
                        </w:trPr>
                        <w:tc>
                          <w:tcPr>
                            <w:tcW w:w="2910" w:type="dxa"/>
                          </w:tcPr>
                          <w:p w14:paraId="29502DFC" w14:textId="368D60FE" w:rsidR="00C522ED" w:rsidRDefault="00C522ED">
                            <w:pPr>
                              <w:pStyle w:val="TableParagraph"/>
                              <w:spacing w:before="0" w:line="209" w:lineRule="exact"/>
                            </w:pPr>
                          </w:p>
                        </w:tc>
                        <w:tc>
                          <w:tcPr>
                            <w:tcW w:w="238" w:type="dxa"/>
                            <w:vMerge w:val="restart"/>
                            <w:tcBorders>
                              <w:bottom w:val="single" w:sz="4" w:space="0" w:color="000000"/>
                            </w:tcBorders>
                          </w:tcPr>
                          <w:p w14:paraId="0400D56C" w14:textId="77777777" w:rsidR="00C522ED" w:rsidRDefault="00C522ED">
                            <w:pPr>
                              <w:pStyle w:val="TableParagraph"/>
                              <w:spacing w:before="0"/>
                              <w:ind w:left="0"/>
                              <w:rPr>
                                <w:rFonts w:ascii="Times New Roman"/>
                              </w:rPr>
                            </w:pPr>
                          </w:p>
                        </w:tc>
                        <w:tc>
                          <w:tcPr>
                            <w:tcW w:w="7129" w:type="dxa"/>
                            <w:vMerge w:val="restart"/>
                            <w:tcBorders>
                              <w:top w:val="single" w:sz="4" w:space="0" w:color="000000"/>
                              <w:bottom w:val="single" w:sz="4" w:space="0" w:color="000000"/>
                            </w:tcBorders>
                          </w:tcPr>
                          <w:p w14:paraId="337F9FA8" w14:textId="77777777" w:rsidR="00E52671" w:rsidRDefault="00E52671">
                            <w:pPr>
                              <w:pStyle w:val="TableParagraph"/>
                              <w:spacing w:line="276" w:lineRule="auto"/>
                              <w:ind w:left="107" w:right="107"/>
                              <w:jc w:val="both"/>
                            </w:pPr>
                            <w:r w:rsidRPr="00E52671">
                              <w:t xml:space="preserve">The present paper outlines a multi-label machine learning approach to predict risk associated with multiple chronic diseases by combining existing predictive models into a single unified predictive system. The development of chronic diseases such as metabolic disease and cardiovascular diseases usually occurs through multiple interrelated </w:t>
                            </w:r>
                            <w:proofErr w:type="gramStart"/>
                            <w:r w:rsidRPr="00E52671">
                              <w:t>systems</w:t>
                            </w:r>
                            <w:proofErr w:type="gramEnd"/>
                            <w:r w:rsidRPr="00E52671">
                              <w:t xml:space="preserve"> so it is important to have a mechanism that captures these relationships for effective preventative care. A combined predictive model of 12 chronic diseases was developed using the 2023 dataset from the Behavioral Risk Factor Surveillance System (BRFSS) and uses many of the available characteristics of the dataset through extensive data fusion and feature engineering techniques, as well as the use of temporal trends, interaction terms, and aggregation or composite vulnerability scores. Also, robust data-leakage detection techniques have been used to verify and document that the performance of the model would be representative of a true prospective test of the model. The final architecture uses optimized XGBoost classifiers in a Binary Relevance workflow. The model was assessed using standard performance metrics and is reported on in detail, including using SHAP analysis for feature interpretability related to each disease. Overall, the predictive accuracy of the model was robust for metabolic and cardiovascular diseases but considerably lower on neurological diseases with lower prevalence; however, the application of multi-domain datasets to support the identification of individual composite vulnerabilities provides a significant benefit of being able to create predictive health assessments that will allow for earlier interventions and personalized healthcare delivery.</w:t>
                            </w:r>
                          </w:p>
                          <w:p w14:paraId="371E8A51" w14:textId="2DF6E026" w:rsidR="00C522ED" w:rsidRDefault="00000000">
                            <w:pPr>
                              <w:pStyle w:val="TableParagraph"/>
                              <w:spacing w:before="0"/>
                              <w:ind w:left="107"/>
                              <w:jc w:val="both"/>
                            </w:pPr>
                            <w:r>
                              <w:t xml:space="preserve">Keywords : </w:t>
                            </w:r>
                            <w:r w:rsidR="00E52671" w:rsidRPr="00E52671">
                              <w:t>Multi-label classification; Gradient boosting; Feature engineering; Class imbalance; Model interpretability; SHAP; Binary relevance; Healthcare machine learning; Data leakage detection; XGBoost</w:t>
                            </w:r>
                          </w:p>
                        </w:tc>
                      </w:tr>
                      <w:tr w:rsidR="00C522ED" w14:paraId="1DBBA7F2" w14:textId="77777777" w:rsidTr="00AE5F8F">
                        <w:trPr>
                          <w:trHeight w:val="6256"/>
                        </w:trPr>
                        <w:tc>
                          <w:tcPr>
                            <w:tcW w:w="2910" w:type="dxa"/>
                          </w:tcPr>
                          <w:p w14:paraId="039BBA71" w14:textId="047EF2EB" w:rsidR="00C522ED" w:rsidRDefault="00C522ED">
                            <w:pPr>
                              <w:pStyle w:val="TableParagraph"/>
                              <w:spacing w:before="0" w:line="276" w:lineRule="auto"/>
                              <w:ind w:right="1438"/>
                            </w:pPr>
                          </w:p>
                        </w:tc>
                        <w:tc>
                          <w:tcPr>
                            <w:tcW w:w="238" w:type="dxa"/>
                            <w:vMerge/>
                            <w:tcBorders>
                              <w:top w:val="nil"/>
                              <w:bottom w:val="single" w:sz="4" w:space="0" w:color="000000"/>
                            </w:tcBorders>
                          </w:tcPr>
                          <w:p w14:paraId="084C2984" w14:textId="77777777" w:rsidR="00C522ED" w:rsidRDefault="00C522ED">
                            <w:pPr>
                              <w:rPr>
                                <w:sz w:val="2"/>
                                <w:szCs w:val="2"/>
                              </w:rPr>
                            </w:pPr>
                          </w:p>
                        </w:tc>
                        <w:tc>
                          <w:tcPr>
                            <w:tcW w:w="7129" w:type="dxa"/>
                            <w:vMerge/>
                            <w:tcBorders>
                              <w:top w:val="nil"/>
                              <w:bottom w:val="single" w:sz="4" w:space="0" w:color="000000"/>
                            </w:tcBorders>
                          </w:tcPr>
                          <w:p w14:paraId="6CE163B9" w14:textId="77777777" w:rsidR="00C522ED" w:rsidRDefault="00C522ED">
                            <w:pPr>
                              <w:rPr>
                                <w:sz w:val="2"/>
                                <w:szCs w:val="2"/>
                              </w:rPr>
                            </w:pPr>
                          </w:p>
                        </w:tc>
                      </w:tr>
                    </w:tbl>
                    <w:p w14:paraId="4326AC95" w14:textId="77777777" w:rsidR="00C522ED" w:rsidRDefault="00C522ED">
                      <w:pPr>
                        <w:pStyle w:val="BodyText"/>
                      </w:pPr>
                    </w:p>
                  </w:txbxContent>
                </v:textbox>
                <w10:wrap anchorx="page"/>
              </v:shape>
            </w:pict>
          </mc:Fallback>
        </mc:AlternateContent>
      </w:r>
    </w:p>
    <w:p w14:paraId="6D891A75" w14:textId="77777777" w:rsidR="00C522ED" w:rsidRDefault="00C522ED">
      <w:pPr>
        <w:pStyle w:val="BodyText"/>
      </w:pPr>
    </w:p>
    <w:p w14:paraId="3FC8E3DA" w14:textId="52EC08EF" w:rsidR="00C522ED" w:rsidRDefault="00C522ED">
      <w:pPr>
        <w:pStyle w:val="BodyText"/>
      </w:pPr>
    </w:p>
    <w:p w14:paraId="18DA0B06" w14:textId="1686CEA9" w:rsidR="00C522ED" w:rsidRDefault="00C522ED">
      <w:pPr>
        <w:pStyle w:val="BodyText"/>
      </w:pPr>
    </w:p>
    <w:p w14:paraId="7FE59D13" w14:textId="4CB2EB7B" w:rsidR="00C522ED" w:rsidRDefault="00AE5F8F">
      <w:pPr>
        <w:pStyle w:val="BodyText"/>
      </w:pPr>
      <w:r>
        <w:rPr>
          <w:noProof/>
        </w:rPr>
        <mc:AlternateContent>
          <mc:Choice Requires="wps">
            <w:drawing>
              <wp:anchor distT="0" distB="0" distL="114300" distR="114300" simplePos="0" relativeHeight="251657216" behindDoc="0" locked="0" layoutInCell="1" allowOverlap="1" wp14:anchorId="6B47CE02" wp14:editId="628ADE4C">
                <wp:simplePos x="0" y="0"/>
                <wp:positionH relativeFrom="column">
                  <wp:posOffset>-32721</wp:posOffset>
                </wp:positionH>
                <wp:positionV relativeFrom="paragraph">
                  <wp:posOffset>83820</wp:posOffset>
                </wp:positionV>
                <wp:extent cx="2039246" cy="685800"/>
                <wp:effectExtent l="0" t="0" r="0" b="0"/>
                <wp:wrapNone/>
                <wp:docPr id="217389172" name="Rectangle: Rounded Corners 12"/>
                <wp:cNvGraphicFramePr/>
                <a:graphic xmlns:a="http://schemas.openxmlformats.org/drawingml/2006/main">
                  <a:graphicData uri="http://schemas.microsoft.com/office/word/2010/wordprocessingShape">
                    <wps:wsp>
                      <wps:cNvSpPr/>
                      <wps:spPr>
                        <a:xfrm>
                          <a:off x="0" y="0"/>
                          <a:ext cx="2039246" cy="68580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8E874A" id="Rectangle: Rounded Corners 12" o:spid="_x0000_s1026" style="position:absolute;margin-left:-2.6pt;margin-top:6.6pt;width:160.55pt;height:54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" fillcolor="white [3212]" stroked="f" strokeweight="2pt"/>
            </w:pict>
          </mc:Fallback>
        </mc:AlternateContent>
      </w:r>
    </w:p>
    <w:p w14:paraId="26C7CF13" w14:textId="77777777" w:rsidR="00C522ED" w:rsidRDefault="00C522ED">
      <w:pPr>
        <w:pStyle w:val="BodyText"/>
        <w:spacing w:before="187"/>
      </w:pPr>
    </w:p>
    <w:p w14:paraId="5A5FD867" w14:textId="77777777" w:rsidR="00C522ED" w:rsidRDefault="00000000">
      <w:pPr>
        <w:tabs>
          <w:tab w:val="left" w:pos="3067"/>
        </w:tabs>
        <w:spacing w:before="1"/>
        <w:ind w:left="107"/>
      </w:pPr>
      <w:r>
        <w:rPr>
          <w:u w:val="single"/>
        </w:rPr>
        <w:t xml:space="preserve"> </w:t>
      </w:r>
      <w:r>
        <w:rPr>
          <w:u w:val="single"/>
        </w:rPr>
        <w:tab/>
      </w:r>
    </w:p>
    <w:p w14:paraId="29FDD2B8" w14:textId="77777777" w:rsidR="00C522ED" w:rsidRDefault="00C522ED">
      <w:pPr>
        <w:pStyle w:val="BodyText"/>
        <w:rPr>
          <w:sz w:val="20"/>
        </w:rPr>
      </w:pPr>
    </w:p>
    <w:p w14:paraId="09899485" w14:textId="77777777" w:rsidR="00C522ED" w:rsidRDefault="00C522ED">
      <w:pPr>
        <w:pStyle w:val="BodyText"/>
        <w:rPr>
          <w:sz w:val="20"/>
        </w:rPr>
      </w:pPr>
    </w:p>
    <w:p w14:paraId="7E136437" w14:textId="77777777" w:rsidR="00C522ED" w:rsidRDefault="00C522ED">
      <w:pPr>
        <w:pStyle w:val="BodyText"/>
        <w:rPr>
          <w:sz w:val="20"/>
        </w:rPr>
      </w:pPr>
    </w:p>
    <w:p w14:paraId="48F89122" w14:textId="77777777" w:rsidR="00C522ED" w:rsidRDefault="00C522ED">
      <w:pPr>
        <w:pStyle w:val="BodyText"/>
        <w:rPr>
          <w:sz w:val="20"/>
        </w:rPr>
      </w:pPr>
    </w:p>
    <w:p w14:paraId="02E4A8A3" w14:textId="77777777" w:rsidR="00C522ED" w:rsidRDefault="00C522ED">
      <w:pPr>
        <w:pStyle w:val="BodyText"/>
        <w:rPr>
          <w:sz w:val="20"/>
        </w:rPr>
      </w:pPr>
    </w:p>
    <w:p w14:paraId="19261C2E" w14:textId="77777777" w:rsidR="00C522ED" w:rsidRDefault="00C522ED">
      <w:pPr>
        <w:pStyle w:val="BodyText"/>
        <w:rPr>
          <w:sz w:val="20"/>
        </w:rPr>
      </w:pPr>
    </w:p>
    <w:p w14:paraId="6613D592" w14:textId="77777777" w:rsidR="00C522ED" w:rsidRDefault="00C522ED">
      <w:pPr>
        <w:pStyle w:val="BodyText"/>
        <w:rPr>
          <w:sz w:val="20"/>
        </w:rPr>
      </w:pPr>
    </w:p>
    <w:p w14:paraId="21F5301C" w14:textId="77777777" w:rsidR="00C522ED" w:rsidRDefault="00C522ED">
      <w:pPr>
        <w:pStyle w:val="BodyText"/>
        <w:rPr>
          <w:sz w:val="20"/>
        </w:rPr>
      </w:pPr>
    </w:p>
    <w:p w14:paraId="5643757E" w14:textId="77777777" w:rsidR="00C522ED" w:rsidRDefault="00C522ED">
      <w:pPr>
        <w:pStyle w:val="BodyText"/>
        <w:rPr>
          <w:sz w:val="20"/>
        </w:rPr>
      </w:pPr>
    </w:p>
    <w:p w14:paraId="74FF3C03" w14:textId="77777777" w:rsidR="00C522ED" w:rsidRDefault="00C522ED">
      <w:pPr>
        <w:pStyle w:val="BodyText"/>
        <w:rPr>
          <w:sz w:val="20"/>
        </w:rPr>
      </w:pPr>
    </w:p>
    <w:p w14:paraId="7EAE25BD" w14:textId="36D2DA1A" w:rsidR="00C522ED" w:rsidRDefault="00AE5F8F">
      <w:pPr>
        <w:pStyle w:val="BodyText"/>
        <w:rPr>
          <w:sz w:val="20"/>
        </w:rPr>
      </w:pPr>
      <w:r>
        <w:rPr>
          <w:sz w:val="20"/>
        </w:rPr>
        <w:t xml:space="preserve"> </w:t>
      </w:r>
    </w:p>
    <w:p w14:paraId="46AAAA5A" w14:textId="77777777" w:rsidR="00AE5F8F" w:rsidRDefault="00AE5F8F">
      <w:pPr>
        <w:pStyle w:val="BodyText"/>
        <w:rPr>
          <w:sz w:val="20"/>
        </w:rPr>
      </w:pPr>
    </w:p>
    <w:p w14:paraId="2B5D2F72" w14:textId="77777777" w:rsidR="00AE5F8F" w:rsidRDefault="00AE5F8F">
      <w:pPr>
        <w:pStyle w:val="BodyText"/>
        <w:rPr>
          <w:sz w:val="20"/>
        </w:rPr>
      </w:pPr>
    </w:p>
    <w:p w14:paraId="4EC90F3C" w14:textId="77777777" w:rsidR="00AE5F8F" w:rsidRDefault="00AE5F8F">
      <w:pPr>
        <w:pStyle w:val="BodyText"/>
        <w:rPr>
          <w:sz w:val="20"/>
        </w:rPr>
      </w:pPr>
    </w:p>
    <w:p w14:paraId="2C86A58B" w14:textId="77777777" w:rsidR="00AE5F8F" w:rsidRDefault="00AE5F8F">
      <w:pPr>
        <w:pStyle w:val="BodyText"/>
        <w:rPr>
          <w:sz w:val="20"/>
        </w:rPr>
      </w:pPr>
    </w:p>
    <w:p w14:paraId="79EABE2A" w14:textId="77777777" w:rsidR="00C522ED" w:rsidRDefault="00C522ED">
      <w:pPr>
        <w:pStyle w:val="BodyText"/>
        <w:rPr>
          <w:sz w:val="20"/>
        </w:rPr>
      </w:pPr>
    </w:p>
    <w:p w14:paraId="3D8E50DC" w14:textId="77777777" w:rsidR="00C522ED" w:rsidRDefault="00C522ED">
      <w:pPr>
        <w:pStyle w:val="BodyText"/>
        <w:rPr>
          <w:sz w:val="20"/>
        </w:rPr>
      </w:pPr>
    </w:p>
    <w:p w14:paraId="17C0EEA7" w14:textId="77777777" w:rsidR="00C522ED" w:rsidRDefault="00C522ED">
      <w:pPr>
        <w:pStyle w:val="BodyText"/>
        <w:rPr>
          <w:sz w:val="20"/>
        </w:rPr>
      </w:pPr>
    </w:p>
    <w:p w14:paraId="5F903144" w14:textId="77777777" w:rsidR="00C522ED" w:rsidRDefault="00C522ED">
      <w:pPr>
        <w:pStyle w:val="BodyText"/>
        <w:rPr>
          <w:sz w:val="20"/>
        </w:rPr>
      </w:pPr>
    </w:p>
    <w:p w14:paraId="39BEEB2D" w14:textId="77777777" w:rsidR="00C522ED" w:rsidRDefault="00C522ED">
      <w:pPr>
        <w:pStyle w:val="BodyText"/>
        <w:rPr>
          <w:sz w:val="20"/>
        </w:rPr>
      </w:pPr>
    </w:p>
    <w:p w14:paraId="6C50DF48" w14:textId="77777777" w:rsidR="00C522ED" w:rsidRDefault="00C522ED">
      <w:pPr>
        <w:pStyle w:val="BodyText"/>
        <w:rPr>
          <w:sz w:val="20"/>
        </w:rPr>
      </w:pPr>
    </w:p>
    <w:p w14:paraId="7592C75D" w14:textId="77777777" w:rsidR="00C522ED" w:rsidRDefault="00C522ED">
      <w:pPr>
        <w:pStyle w:val="BodyText"/>
        <w:rPr>
          <w:sz w:val="20"/>
        </w:rPr>
      </w:pPr>
    </w:p>
    <w:p w14:paraId="1AF71E84" w14:textId="77777777" w:rsidR="00C522ED" w:rsidRDefault="00C522ED">
      <w:pPr>
        <w:pStyle w:val="BodyText"/>
        <w:rPr>
          <w:sz w:val="20"/>
        </w:rPr>
      </w:pPr>
    </w:p>
    <w:p w14:paraId="155A7ECE" w14:textId="77777777" w:rsidR="00C522ED" w:rsidRDefault="00C522ED">
      <w:pPr>
        <w:pStyle w:val="BodyText"/>
        <w:rPr>
          <w:sz w:val="20"/>
        </w:rPr>
      </w:pPr>
    </w:p>
    <w:p w14:paraId="4BBF57F0" w14:textId="77777777" w:rsidR="00C522ED" w:rsidRDefault="00C522ED">
      <w:pPr>
        <w:pStyle w:val="BodyText"/>
        <w:rPr>
          <w:sz w:val="20"/>
        </w:rPr>
      </w:pPr>
    </w:p>
    <w:p w14:paraId="069D6763" w14:textId="77777777" w:rsidR="00C522ED" w:rsidRDefault="00C522ED">
      <w:pPr>
        <w:pStyle w:val="BodyText"/>
        <w:rPr>
          <w:sz w:val="20"/>
        </w:rPr>
      </w:pPr>
    </w:p>
    <w:p w14:paraId="5F93E23B" w14:textId="77777777" w:rsidR="00C522ED" w:rsidRDefault="00C522ED">
      <w:pPr>
        <w:pStyle w:val="BodyText"/>
        <w:rPr>
          <w:sz w:val="20"/>
        </w:rPr>
      </w:pPr>
    </w:p>
    <w:p w14:paraId="475AE426" w14:textId="77777777" w:rsidR="00C522ED" w:rsidRDefault="00C522ED">
      <w:pPr>
        <w:pStyle w:val="BodyText"/>
        <w:rPr>
          <w:sz w:val="20"/>
        </w:rPr>
      </w:pPr>
    </w:p>
    <w:p w14:paraId="04EF632B" w14:textId="77777777" w:rsidR="00C522ED" w:rsidRDefault="00C522ED">
      <w:pPr>
        <w:pStyle w:val="BodyText"/>
        <w:spacing w:before="45"/>
        <w:rPr>
          <w:sz w:val="20"/>
        </w:rPr>
      </w:pPr>
    </w:p>
    <w:p w14:paraId="6EBC2888" w14:textId="77777777" w:rsidR="00C522ED" w:rsidRDefault="00C522ED">
      <w:pPr>
        <w:pStyle w:val="BodyText"/>
        <w:rPr>
          <w:sz w:val="20"/>
        </w:rPr>
        <w:sectPr w:rsidR="00C522ED">
          <w:type w:val="continuous"/>
          <w:pgSz w:w="11910" w:h="16840"/>
          <w:pgMar w:top="1060" w:right="708" w:bottom="280" w:left="708" w:header="720" w:footer="720" w:gutter="0"/>
          <w:cols w:space="720"/>
        </w:sectPr>
      </w:pPr>
    </w:p>
    <w:p w14:paraId="436BE749" w14:textId="77777777" w:rsidR="00C522ED" w:rsidRPr="00B917A1" w:rsidRDefault="00000000">
      <w:pPr>
        <w:pStyle w:val="ListParagraph"/>
        <w:numPr>
          <w:ilvl w:val="0"/>
          <w:numId w:val="9"/>
        </w:numPr>
        <w:tabs>
          <w:tab w:val="left" w:pos="1913"/>
        </w:tabs>
        <w:spacing w:before="89"/>
        <w:ind w:left="1913" w:hanging="286"/>
        <w:jc w:val="left"/>
        <w:rPr>
          <w:sz w:val="24"/>
          <w:szCs w:val="24"/>
        </w:rPr>
      </w:pPr>
      <w:r w:rsidRPr="00B917A1">
        <w:rPr>
          <w:spacing w:val="-2"/>
          <w:sz w:val="24"/>
          <w:szCs w:val="24"/>
        </w:rPr>
        <w:t>INTRODUCTION</w:t>
      </w:r>
    </w:p>
    <w:p w14:paraId="1D94BB5B" w14:textId="77777777" w:rsidR="00C522ED" w:rsidRDefault="00C522ED">
      <w:pPr>
        <w:pStyle w:val="BodyText"/>
        <w:spacing w:before="86"/>
      </w:pPr>
    </w:p>
    <w:p w14:paraId="6A71B6B1" w14:textId="495015B4" w:rsidR="00C522ED" w:rsidRDefault="00D350E6" w:rsidP="00E52671">
      <w:pPr>
        <w:pStyle w:val="BodyText"/>
        <w:spacing w:line="276" w:lineRule="auto"/>
        <w:jc w:val="both"/>
        <w:sectPr w:rsidR="00C522ED">
          <w:type w:val="continuous"/>
          <w:pgSz w:w="11910" w:h="16840"/>
          <w:pgMar w:top="1060" w:right="708" w:bottom="280" w:left="708" w:header="720" w:footer="720" w:gutter="0"/>
          <w:cols w:num="2" w:space="720" w:equalWidth="0">
            <w:col w:w="5146" w:space="138"/>
            <w:col w:w="5210"/>
          </w:cols>
        </w:sectPr>
      </w:pPr>
      <w:r w:rsidRPr="00D350E6">
        <w:t xml:space="preserve">The innovative application of advanced technologies such as AI &amp; ML have </w:t>
      </w:r>
      <w:proofErr w:type="spellStart"/>
      <w:r w:rsidRPr="00D350E6">
        <w:t>revolutionised</w:t>
      </w:r>
      <w:proofErr w:type="spellEnd"/>
      <w:r w:rsidRPr="00D350E6">
        <w:t xml:space="preserve"> how healthcare analytics will be </w:t>
      </w:r>
      <w:proofErr w:type="spellStart"/>
      <w:r w:rsidRPr="00D350E6">
        <w:t>utilised</w:t>
      </w:r>
      <w:proofErr w:type="spellEnd"/>
      <w:r w:rsidRPr="00D350E6">
        <w:t xml:space="preserve"> and how clinical decision support systems will operate. By using these new </w:t>
      </w:r>
      <w:r w:rsidRPr="00D350E6">
        <w:t xml:space="preserve">technologies to create models that predict future </w:t>
      </w:r>
      <w:proofErr w:type="spellStart"/>
      <w:r w:rsidRPr="00D350E6">
        <w:t>behaviour</w:t>
      </w:r>
      <w:proofErr w:type="spellEnd"/>
      <w:r w:rsidRPr="00D350E6">
        <w:t xml:space="preserve"> of a patient and use many variables to determine the likelihood that they will develop a chronic disease or another medical condition even before showing signs of the actual condition, it is now possible to intervene much sooner on the patient's </w:t>
      </w:r>
    </w:p>
    <w:p w14:paraId="0A531E2D" w14:textId="41453099" w:rsidR="00EF647C" w:rsidRDefault="00596F49" w:rsidP="00596F49">
      <w:pPr>
        <w:pStyle w:val="BodyText"/>
        <w:spacing w:line="276" w:lineRule="auto"/>
        <w:ind w:right="38"/>
        <w:jc w:val="both"/>
      </w:pPr>
      <w:r>
        <w:rPr>
          <w:color w:val="1F1F1F"/>
        </w:rPr>
        <w:lastRenderedPageBreak/>
        <w:t xml:space="preserve">behalf. </w:t>
      </w:r>
      <w:r w:rsidR="00D350E6" w:rsidRPr="00D350E6">
        <w:rPr>
          <w:color w:val="1F1F1F"/>
        </w:rPr>
        <w:t xml:space="preserve">Advanced tools for proactive healthcare risk stratification are a positive step forward in providing a means for preventive patient care as they have the potential to change how we think about healthcare from reacting to issues already present to providing early intervention prior to the development of chronic illness. Proactive healthcare risk stratification refers to the process of </w:t>
      </w:r>
      <w:proofErr w:type="spellStart"/>
      <w:r w:rsidR="00D350E6" w:rsidRPr="00D350E6">
        <w:rPr>
          <w:color w:val="1F1F1F"/>
        </w:rPr>
        <w:t>utilising</w:t>
      </w:r>
      <w:proofErr w:type="spellEnd"/>
      <w:r w:rsidR="00D350E6" w:rsidRPr="00D350E6">
        <w:rPr>
          <w:color w:val="1F1F1F"/>
        </w:rPr>
        <w:t xml:space="preserve"> advanced computational techniques (i.e., machine learning) to identify and assess a patient’s potential risk of developing chronic illness (such as diabetes) well before they exhibit clinical signs or symptoms. By identifying patients who are at high risk for developing chronic illness before they present with signs or symptoms of the disease, healthcare professionals can provide these individuals with targeted intervention options, leading to improved patient outcomes and a significant reduction in both the economic and social costs of managing advanced chronic disease. Detecting the early risks of high-risk individuals gives healthcare providers the opportunity to intervene with preventive measures as well as lifestyle changes, and therapeutic treatments, which may prolong the onset of the disease, slow the disease's progression, or potentially prevent (the disease) from occurring altogether. Proactive healthcare risk stratification holds great promise given the increasing burden of chronic diseases on a global scale, as chronic diseases are responsible for </w:t>
      </w:r>
      <w:proofErr w:type="gramStart"/>
      <w:r w:rsidR="00D350E6" w:rsidRPr="00D350E6">
        <w:rPr>
          <w:color w:val="1F1F1F"/>
        </w:rPr>
        <w:t>the majority of</w:t>
      </w:r>
      <w:proofErr w:type="gramEnd"/>
      <w:r w:rsidR="00D350E6" w:rsidRPr="00D350E6">
        <w:rPr>
          <w:color w:val="1F1F1F"/>
        </w:rPr>
        <w:t xml:space="preserve"> healthcare spending and are also the leading causes of death and disability around the globe. However, when we look at traditional clinical methods of assessing (patients') health (e.g., family history, physical exam), there is a significant gap in the effectiveness of using these methods as a way of preventing or mitigating the risk of developing chronic </w:t>
      </w:r>
      <w:proofErr w:type="gramStart"/>
      <w:r w:rsidR="00D350E6" w:rsidRPr="00D350E6">
        <w:rPr>
          <w:color w:val="1F1F1F"/>
        </w:rPr>
        <w:t>illness, or</w:t>
      </w:r>
      <w:proofErr w:type="gramEnd"/>
      <w:r w:rsidR="00D350E6" w:rsidRPr="00D350E6">
        <w:rPr>
          <w:color w:val="1F1F1F"/>
        </w:rPr>
        <w:t xml:space="preserve"> having chronic illness progress to more severe states of disease.</w:t>
      </w:r>
      <w:r w:rsidR="00EF647C" w:rsidRPr="00EF647C">
        <w:t xml:space="preserve"> </w:t>
      </w:r>
      <w:r w:rsidRPr="00596F49">
        <w:t xml:space="preserve">Traditional predictions of disease risk typically view diseases as individually separate. They typically do not </w:t>
      </w:r>
      <w:proofErr w:type="gramStart"/>
      <w:r w:rsidRPr="00596F49">
        <w:t>take into account</w:t>
      </w:r>
      <w:proofErr w:type="gramEnd"/>
      <w:r w:rsidRPr="00596F49">
        <w:t xml:space="preserve"> many of the complex biological relationships across many different </w:t>
      </w:r>
      <w:proofErr w:type="gramStart"/>
      <w:r w:rsidRPr="00596F49">
        <w:t>physiologic</w:t>
      </w:r>
      <w:proofErr w:type="gramEnd"/>
      <w:r w:rsidRPr="00596F49">
        <w:t xml:space="preserve"> systems that exist within each person </w:t>
      </w:r>
      <w:r w:rsidRPr="00596F49">
        <w:t xml:space="preserve">with multiple chronic conditions. Additionally, traditional prediction models also overlook </w:t>
      </w:r>
      <w:proofErr w:type="gramStart"/>
      <w:r w:rsidRPr="00596F49">
        <w:t>that often</w:t>
      </w:r>
      <w:proofErr w:type="gramEnd"/>
      <w:r w:rsidRPr="00596F49">
        <w:t xml:space="preserve"> multiple physiologic systems are affected because of the diagnosis of Metabolic Dysfunction. For example, Metabolic Dysfunction is not a separate disease from </w:t>
      </w:r>
      <w:proofErr w:type="gramStart"/>
      <w:r w:rsidRPr="00596F49">
        <w:t>Cardiovascular Disease</w:t>
      </w:r>
      <w:proofErr w:type="gramEnd"/>
      <w:r w:rsidRPr="00596F49">
        <w:t xml:space="preserve"> and the risk of developing </w:t>
      </w:r>
      <w:proofErr w:type="gramStart"/>
      <w:r w:rsidRPr="00596F49">
        <w:t>Cardiovascular Disease</w:t>
      </w:r>
      <w:proofErr w:type="gramEnd"/>
      <w:r w:rsidRPr="00596F49">
        <w:t xml:space="preserve"> is significantly higher in Diabetic patients due to the Inter-Associated Mechanisms leading to Endothelial Dysfunction, Accelerated Atherosclerosis and Chronic Inflammatory Pathways. The secondary risk of any of these mechanisms increasing a Diabetic's risk for Cerebro-</w:t>
      </w:r>
      <w:proofErr w:type="gramStart"/>
      <w:r w:rsidRPr="00596F49">
        <w:t>vascular Disease</w:t>
      </w:r>
      <w:proofErr w:type="gramEnd"/>
      <w:r w:rsidRPr="00596F49">
        <w:t xml:space="preserve"> and Cognitive Decline contributes to the establishment of clear mechanisms that link Metabolic Health, Cardiovascular Function and Neuro-Cognitive Capacity. Traditional Models of Disease Risk that rely on single-disease approaches currently underestimate the comprehensive illness trajectories of people with multiple chronic disease processes due to their inability to accurately assess the relationships between those processes. This research project seeks to fill that gap by developing and utilizing a Comprehensive Multidisease Prediction Framework to overcome the limitations of traditional Single-Disease Models. Development of a Machine Learning system with predictive capabilities that integrate disease risks rather than assess risks on an individual basis will facilitate the better management and diagnosis of patients with multiple chronic diseases.</w:t>
      </w:r>
      <w:r>
        <w:t xml:space="preserve"> </w:t>
      </w:r>
      <w:r w:rsidRPr="00596F49">
        <w:t xml:space="preserve">A multi-domain machine learning model has been created to evaluate a patient's risk of twelve very </w:t>
      </w:r>
      <w:proofErr w:type="spellStart"/>
      <w:proofErr w:type="gramStart"/>
      <w:r w:rsidRPr="00596F49">
        <w:t>well known</w:t>
      </w:r>
      <w:proofErr w:type="spellEnd"/>
      <w:proofErr w:type="gramEnd"/>
      <w:r w:rsidRPr="00596F49">
        <w:t xml:space="preserve"> chronic diseases, all of which greatly affect someone's health today. Type 2 Diabetes, Chronic Kidney Disease, Major Depressive Disorder, Hypertension, Stroke, Coronary Artery Disease, Hyperlipidemia, Alzheimer's Disease and Vascular Dementia, Parkinson's Disease, Atrial Fibrillation, Epilepsy, and Obesity are the same twelve diseases previously mentioned as being closely related. The model groups all twelve of these conditions into three different groups, or physiological systems. The first </w:t>
      </w:r>
      <w:r w:rsidRPr="00596F49">
        <w:lastRenderedPageBreak/>
        <w:t>group encompasses those diseases associated with the Neuro-Cognitive domain (neurological and psychiatric). The second group addresses conditions associated with the Cardiovascular (Circulatory) system and Cardiac (Heart) system. Lastly, this model creates a Metabolic (Endocrine and Metabolic) system that describes the Metabolic processes. Evaluating risk across the three major physiological systems gives the doctor a more integrated view of a patient who may have other chronic diseases. The purpose of the study is to understand how the multi-domain machine learning system is developed and implemented, how it improves and expands the current methods of identifying patients at risk for developing additional chronic diseases.</w:t>
      </w:r>
      <w:r>
        <w:t xml:space="preserve"> </w:t>
      </w:r>
      <w:r w:rsidR="00EF647C">
        <w:t>This analysis encompasses examination of the complex technical procedures involved in system development, including enhanced data fusion techniques that integrate multiple information sources, sophisticated feature engineering methods that encode clinical domain knowledge, systematic data leakage detection and mitigation protocols that ensure model integrity, and rigorous hyperparameter optimization processes that maximize predictive performance. The investigation scrutinizes both the technical implementation details and the broader clinical implications of this approach, ultimately seeking to demonstrate how this multi-faceted model architecture surpasses the inherent limitations of traditional single-disease predictive frameworks.</w:t>
      </w:r>
    </w:p>
    <w:p w14:paraId="2026974E" w14:textId="31B961A4" w:rsidR="00C522ED" w:rsidRDefault="00EF647C" w:rsidP="00973DE5">
      <w:pPr>
        <w:pStyle w:val="BodyText"/>
        <w:spacing w:line="276" w:lineRule="auto"/>
        <w:ind w:left="284" w:right="38" w:hanging="142"/>
        <w:jc w:val="both"/>
      </w:pPr>
      <w:r>
        <w:t xml:space="preserve">To conceptualize this advancement through analogy, traditional single-disease prediction resembles attempting to forecast a complex economic recession by examining only the stock market index in isolation. In contrast, the multi-domain approach operates analogously to a comprehensive economic analysis center that simultaneously monitors interest rates, consumer spending patterns, employment statistics, manufacturing indices, and global trade dynamics to generate an integrated forecast of systemic financial risk. Just as economic </w:t>
      </w:r>
      <w:r>
        <w:t>indicators are fundamentally interconnected, physiological systems exhibit profound interdependencies that must be modeled collectively rather than in isolation to generate clinically meaningful risk assessments. This integrated modeling approach represents the essential conceptual foundation upon which the present system is constructed.</w:t>
      </w:r>
    </w:p>
    <w:p w14:paraId="125ED549" w14:textId="77777777" w:rsidR="00EF647C" w:rsidRDefault="00EF647C" w:rsidP="00973DE5">
      <w:pPr>
        <w:pStyle w:val="BodyText"/>
        <w:spacing w:line="276" w:lineRule="auto"/>
        <w:ind w:left="284" w:right="38" w:hanging="142"/>
        <w:jc w:val="both"/>
      </w:pPr>
    </w:p>
    <w:p w14:paraId="03875718" w14:textId="77777777" w:rsidR="00C522ED" w:rsidRPr="00EF647C" w:rsidRDefault="00000000" w:rsidP="00973DE5">
      <w:pPr>
        <w:pStyle w:val="ListParagraph"/>
        <w:numPr>
          <w:ilvl w:val="1"/>
          <w:numId w:val="8"/>
        </w:numPr>
        <w:tabs>
          <w:tab w:val="left" w:pos="463"/>
        </w:tabs>
        <w:ind w:left="284" w:hanging="142"/>
      </w:pPr>
      <w:r>
        <w:rPr>
          <w:spacing w:val="-2"/>
        </w:rPr>
        <w:t>Objective</w:t>
      </w:r>
    </w:p>
    <w:p w14:paraId="7253F68E" w14:textId="77777777" w:rsidR="00EF647C" w:rsidRDefault="00EF647C" w:rsidP="00973DE5">
      <w:pPr>
        <w:tabs>
          <w:tab w:val="left" w:pos="463"/>
        </w:tabs>
        <w:ind w:left="284" w:hanging="142"/>
      </w:pPr>
    </w:p>
    <w:p w14:paraId="62D9B401" w14:textId="77777777" w:rsidR="00EF647C" w:rsidRDefault="00EF647C" w:rsidP="00973DE5">
      <w:pPr>
        <w:pStyle w:val="BodyText"/>
        <w:spacing w:line="276" w:lineRule="auto"/>
        <w:ind w:left="284" w:hanging="142"/>
        <w:jc w:val="both"/>
      </w:pPr>
      <w:r>
        <w:t>The objectives of this research are to analyze the development, methodology, and clinical significance of a multi-label Machine Learning system that simultaneously predicts risk for twelve chronic diseases across the Neuro-Cognitive, Cardiovascular, and Metabolic domains. Specifically, the study aims to:</w:t>
      </w:r>
    </w:p>
    <w:p w14:paraId="54DB66C0" w14:textId="77777777" w:rsidR="00EF647C" w:rsidRDefault="00EF647C" w:rsidP="00973DE5">
      <w:pPr>
        <w:pStyle w:val="BodyText"/>
        <w:numPr>
          <w:ilvl w:val="0"/>
          <w:numId w:val="10"/>
        </w:numPr>
        <w:spacing w:line="276" w:lineRule="auto"/>
        <w:ind w:left="284" w:hanging="142"/>
        <w:jc w:val="both"/>
      </w:pPr>
      <w:r>
        <w:t>Document the system architecture and implementation, including the Binary Relevance framework with XGBoost models, the feature preprocessing pipeline, and the full workflow from data input to risk score generation.</w:t>
      </w:r>
    </w:p>
    <w:p w14:paraId="0001AC2B" w14:textId="77777777" w:rsidR="00EF647C" w:rsidRDefault="00EF647C" w:rsidP="00973DE5">
      <w:pPr>
        <w:pStyle w:val="BodyText"/>
        <w:spacing w:line="276" w:lineRule="auto"/>
        <w:ind w:left="284" w:hanging="142"/>
        <w:jc w:val="both"/>
      </w:pPr>
    </w:p>
    <w:p w14:paraId="5B36ADFC" w14:textId="77777777" w:rsidR="00EF647C" w:rsidRDefault="00EF647C" w:rsidP="00973DE5">
      <w:pPr>
        <w:pStyle w:val="BodyText"/>
        <w:numPr>
          <w:ilvl w:val="0"/>
          <w:numId w:val="10"/>
        </w:numPr>
        <w:spacing w:line="276" w:lineRule="auto"/>
        <w:ind w:left="284" w:hanging="142"/>
        <w:jc w:val="both"/>
      </w:pPr>
      <w:r>
        <w:t>Examine the data processing methods required for robust model development, covering data fusion from the BRFSS dataset, advanced feature engineering that produced thirty predictive variables, and hyperparameter optimization using grid search with cross-validation.</w:t>
      </w:r>
    </w:p>
    <w:p w14:paraId="5BBD7783" w14:textId="77777777" w:rsidR="00EF647C" w:rsidRDefault="00EF647C" w:rsidP="00973DE5">
      <w:pPr>
        <w:pStyle w:val="BodyText"/>
        <w:spacing w:line="276" w:lineRule="auto"/>
        <w:ind w:left="284" w:hanging="142"/>
        <w:jc w:val="both"/>
      </w:pPr>
    </w:p>
    <w:p w14:paraId="0E9EB190" w14:textId="77777777" w:rsidR="00EF647C" w:rsidRDefault="00EF647C" w:rsidP="00973DE5">
      <w:pPr>
        <w:pStyle w:val="BodyText"/>
        <w:numPr>
          <w:ilvl w:val="0"/>
          <w:numId w:val="10"/>
        </w:numPr>
        <w:spacing w:line="276" w:lineRule="auto"/>
        <w:ind w:left="284" w:hanging="142"/>
        <w:jc w:val="both"/>
      </w:pPr>
      <w:r>
        <w:t>Evaluate data integrity and reliability measures, focusing on detection and mitigation of data leakage through systematic identification of over thirty leaking features, exclusion of direct disease indicators, and dual-dataset validation using standard and clean versions.</w:t>
      </w:r>
    </w:p>
    <w:p w14:paraId="790E9409" w14:textId="77777777" w:rsidR="00EF647C" w:rsidRDefault="00EF647C" w:rsidP="00973DE5">
      <w:pPr>
        <w:pStyle w:val="BodyText"/>
        <w:spacing w:line="276" w:lineRule="auto"/>
        <w:ind w:left="284" w:hanging="142"/>
        <w:jc w:val="both"/>
      </w:pPr>
    </w:p>
    <w:p w14:paraId="7F10A3EB" w14:textId="4E146DB8" w:rsidR="00EF647C" w:rsidRDefault="00EF647C" w:rsidP="002B0D69">
      <w:pPr>
        <w:pStyle w:val="BodyText"/>
        <w:numPr>
          <w:ilvl w:val="0"/>
          <w:numId w:val="10"/>
        </w:numPr>
        <w:spacing w:line="276" w:lineRule="auto"/>
        <w:ind w:left="284" w:hanging="142"/>
        <w:jc w:val="both"/>
      </w:pPr>
      <w:r>
        <w:t xml:space="preserve">Compare multi-disease prediction with traditional single-disease approaches, assessing how the integrated model captures comorbidity patterns, cross-domain interactions, and systemic </w:t>
      </w:r>
    </w:p>
    <w:p w14:paraId="234B5F55" w14:textId="77777777" w:rsidR="002B0D69" w:rsidRDefault="002B0D69" w:rsidP="002B0D69">
      <w:pPr>
        <w:widowControl/>
        <w:autoSpaceDE/>
        <w:autoSpaceDN/>
        <w:rPr>
          <w:rFonts w:ascii="Times New Roman" w:eastAsia="Times New Roman" w:hAnsi="Times New Roman" w:cs="Times New Roman"/>
          <w:sz w:val="24"/>
          <w:szCs w:val="24"/>
          <w:lang/>
        </w:rPr>
        <w:sectPr w:rsidR="002B0D69" w:rsidSect="00973DE5">
          <w:headerReference w:type="default" r:id="rId13"/>
          <w:footerReference w:type="default" r:id="rId14"/>
          <w:pgSz w:w="11910" w:h="16840"/>
          <w:pgMar w:top="1060" w:right="708" w:bottom="1340" w:left="708" w:header="763" w:footer="1143" w:gutter="0"/>
          <w:cols w:num="2" w:space="720"/>
        </w:sectPr>
      </w:pPr>
    </w:p>
    <w:p w14:paraId="1D950796" w14:textId="3BAFA034" w:rsidR="002B0D69" w:rsidRDefault="002B0D69" w:rsidP="002B0D69">
      <w:pPr>
        <w:widowControl/>
        <w:autoSpaceDE/>
        <w:autoSpaceDN/>
        <w:rPr>
          <w:rFonts w:ascii="Times New Roman" w:eastAsia="Times New Roman" w:hAnsi="Times New Roman" w:cs="Times New Roman"/>
          <w:sz w:val="24"/>
          <w:szCs w:val="24"/>
          <w:lang/>
        </w:rPr>
        <w:sectPr w:rsidR="002B0D69" w:rsidSect="002B0D69">
          <w:type w:val="continuous"/>
          <w:pgSz w:w="11910" w:h="16840"/>
          <w:pgMar w:top="1060" w:right="708" w:bottom="1340" w:left="708" w:header="763" w:footer="1143" w:gutter="0"/>
          <w:cols w:space="720"/>
        </w:sectPr>
      </w:pPr>
    </w:p>
    <w:p w14:paraId="3A739E20" w14:textId="77777777" w:rsidR="002B0D69" w:rsidRDefault="002B0D69" w:rsidP="002B0D69">
      <w:pPr>
        <w:pStyle w:val="BodyText"/>
        <w:spacing w:line="276" w:lineRule="auto"/>
        <w:ind w:left="284"/>
        <w:jc w:val="both"/>
      </w:pPr>
      <w:r>
        <w:lastRenderedPageBreak/>
        <w:t>health risks to provide more holistic and clinically useful risk stratification.</w:t>
      </w:r>
    </w:p>
    <w:p w14:paraId="0085F331" w14:textId="77777777" w:rsidR="002B0D69" w:rsidRDefault="002B0D69" w:rsidP="002B0D69">
      <w:pPr>
        <w:pStyle w:val="BodyText"/>
        <w:spacing w:line="276" w:lineRule="auto"/>
        <w:ind w:left="284" w:hanging="142"/>
        <w:jc w:val="both"/>
      </w:pPr>
    </w:p>
    <w:p w14:paraId="2DCF4FCE" w14:textId="77777777" w:rsidR="002B0D69" w:rsidRDefault="002B0D69" w:rsidP="002B0D69">
      <w:pPr>
        <w:pStyle w:val="BodyText"/>
        <w:spacing w:line="276" w:lineRule="auto"/>
        <w:ind w:left="284" w:hanging="142"/>
        <w:jc w:val="both"/>
      </w:pPr>
      <w:r>
        <w:pict w14:anchorId="46656229">
          <v:rect id="_x0000_i1029" style="width:0;height:1.5pt" o:hralign="center" o:hrstd="t" o:hr="t" fillcolor="#a0a0a0" stroked="f"/>
        </w:pict>
      </w:r>
    </w:p>
    <w:p w14:paraId="20FFECF9" w14:textId="5C947AB2" w:rsidR="002B0D69" w:rsidRPr="002B0D69" w:rsidRDefault="002B0D69" w:rsidP="002B0D69">
      <w:pPr>
        <w:widowControl/>
        <w:autoSpaceDE/>
        <w:autoSpaceDN/>
        <w:rPr>
          <w:rFonts w:ascii="Times New Roman" w:eastAsia="Times New Roman" w:hAnsi="Times New Roman" w:cs="Times New Roman"/>
          <w:sz w:val="24"/>
          <w:szCs w:val="24"/>
          <w:lang/>
        </w:rPr>
      </w:pPr>
    </w:p>
    <w:p w14:paraId="497DC0A2" w14:textId="24DA8BDC" w:rsidR="00973DE5" w:rsidRDefault="00973DE5" w:rsidP="00973DE5">
      <w:pPr>
        <w:pStyle w:val="BodyText"/>
        <w:spacing w:line="276" w:lineRule="auto"/>
        <w:ind w:left="284" w:hanging="142"/>
        <w:jc w:val="both"/>
      </w:pPr>
    </w:p>
    <w:p w14:paraId="04167DCB" w14:textId="4733DCEC" w:rsidR="002B0D69" w:rsidRDefault="002B0D69" w:rsidP="00973DE5">
      <w:pPr>
        <w:pStyle w:val="BodyText"/>
        <w:spacing w:line="276" w:lineRule="auto"/>
        <w:ind w:left="284" w:hanging="142"/>
        <w:jc w:val="both"/>
      </w:pPr>
      <w:r w:rsidRPr="002B0D69">
        <w:rPr>
          <w:rFonts w:ascii="Times New Roman" w:eastAsia="Times New Roman" w:hAnsi="Times New Roman" w:cs="Times New Roman"/>
          <w:noProof/>
          <w:sz w:val="24"/>
          <w:szCs w:val="24"/>
          <w:lang/>
        </w:rPr>
        <w:drawing>
          <wp:anchor distT="0" distB="0" distL="114300" distR="114300" simplePos="0" relativeHeight="251658240" behindDoc="0" locked="0" layoutInCell="1" allowOverlap="1" wp14:anchorId="34EA710E" wp14:editId="0D13304C">
            <wp:simplePos x="0" y="0"/>
            <wp:positionH relativeFrom="column">
              <wp:posOffset>1330325</wp:posOffset>
            </wp:positionH>
            <wp:positionV relativeFrom="paragraph">
              <wp:posOffset>339090</wp:posOffset>
            </wp:positionV>
            <wp:extent cx="4287520" cy="8070215"/>
            <wp:effectExtent l="0" t="0" r="0" b="6985"/>
            <wp:wrapTopAndBottom/>
            <wp:docPr id="5363989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899" name="Picture 3" descr="A screenshot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87520" cy="8070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CBF30C" w14:textId="77777777" w:rsidR="002B0D69" w:rsidRDefault="002B0D69" w:rsidP="00973DE5">
      <w:pPr>
        <w:pStyle w:val="BodyText"/>
        <w:spacing w:line="276" w:lineRule="auto"/>
        <w:ind w:left="284" w:hanging="142"/>
        <w:jc w:val="both"/>
      </w:pPr>
    </w:p>
    <w:p w14:paraId="32FD67F6" w14:textId="77777777" w:rsidR="002B0D69" w:rsidRDefault="002B0D69" w:rsidP="00973DE5">
      <w:pPr>
        <w:pStyle w:val="BodyText"/>
        <w:spacing w:line="276" w:lineRule="auto"/>
        <w:ind w:left="284" w:hanging="142"/>
        <w:jc w:val="both"/>
      </w:pPr>
    </w:p>
    <w:p w14:paraId="51835D21" w14:textId="77777777" w:rsidR="002B0D69" w:rsidRDefault="002B0D69" w:rsidP="00973DE5">
      <w:pPr>
        <w:pStyle w:val="BodyText"/>
        <w:spacing w:line="276" w:lineRule="auto"/>
        <w:ind w:left="284" w:hanging="142"/>
        <w:jc w:val="both"/>
      </w:pPr>
    </w:p>
    <w:p w14:paraId="720E4C25" w14:textId="77777777" w:rsidR="002B0D69" w:rsidRDefault="002B0D69" w:rsidP="00973DE5">
      <w:pPr>
        <w:pStyle w:val="BodyText"/>
        <w:spacing w:line="276" w:lineRule="auto"/>
        <w:ind w:left="284" w:hanging="142"/>
        <w:jc w:val="both"/>
      </w:pPr>
    </w:p>
    <w:p w14:paraId="7DEB7884" w14:textId="77777777" w:rsidR="002B0D69" w:rsidRDefault="002B0D69" w:rsidP="00973DE5">
      <w:pPr>
        <w:pStyle w:val="BodyText"/>
        <w:spacing w:line="276" w:lineRule="auto"/>
        <w:ind w:left="284" w:hanging="142"/>
        <w:jc w:val="both"/>
      </w:pPr>
    </w:p>
    <w:p w14:paraId="0DA0F8D6" w14:textId="77777777" w:rsidR="002B0D69" w:rsidRDefault="002B0D69" w:rsidP="00973DE5">
      <w:pPr>
        <w:pStyle w:val="BodyText"/>
        <w:spacing w:line="276" w:lineRule="auto"/>
        <w:ind w:left="284" w:hanging="142"/>
        <w:jc w:val="both"/>
      </w:pPr>
    </w:p>
    <w:p w14:paraId="23F4129B" w14:textId="77777777" w:rsidR="00EF647C" w:rsidRPr="00EF647C" w:rsidRDefault="00EF647C" w:rsidP="002B0D69">
      <w:pPr>
        <w:tabs>
          <w:tab w:val="left" w:pos="463"/>
        </w:tabs>
      </w:pPr>
    </w:p>
    <w:p w14:paraId="102AEEAC" w14:textId="77777777" w:rsidR="00EF647C" w:rsidRPr="00B917A1" w:rsidRDefault="00EF647C" w:rsidP="00D45496">
      <w:pPr>
        <w:pStyle w:val="ListParagraph"/>
        <w:numPr>
          <w:ilvl w:val="0"/>
          <w:numId w:val="11"/>
        </w:numPr>
        <w:ind w:left="426" w:firstLine="0"/>
        <w:jc w:val="center"/>
        <w:rPr>
          <w:sz w:val="24"/>
          <w:szCs w:val="24"/>
        </w:rPr>
      </w:pPr>
      <w:r w:rsidRPr="00B917A1">
        <w:rPr>
          <w:sz w:val="24"/>
          <w:szCs w:val="24"/>
        </w:rPr>
        <w:lastRenderedPageBreak/>
        <w:t>Fundamental Concepts or Background</w:t>
      </w:r>
    </w:p>
    <w:p w14:paraId="132D9117" w14:textId="3A78FC8A" w:rsidR="00EF647C" w:rsidRPr="00167F4D" w:rsidRDefault="00EF647C" w:rsidP="00D45496">
      <w:pPr>
        <w:spacing w:before="240" w:after="240"/>
        <w:ind w:left="284" w:right="-34"/>
        <w:jc w:val="both"/>
        <w:rPr>
          <w:color w:val="1F1F1F"/>
        </w:rPr>
      </w:pPr>
      <w:r w:rsidRPr="00167F4D">
        <w:rPr>
          <w:color w:val="1F1F1F"/>
        </w:rPr>
        <w:t xml:space="preserve">The foundational theory underlying this work focuses on a modern, proactive approach to healthcare risk stratification. At its core is the CardioNeuro-Axis system—a production-ready </w:t>
      </w:r>
      <w:r w:rsidRPr="00167F4D">
        <w:rPr>
          <w:b/>
          <w:bCs/>
          <w:color w:val="1F1F1F"/>
        </w:rPr>
        <w:t>supervised Machine Learning</w:t>
      </w:r>
      <w:r w:rsidRPr="00167F4D">
        <w:rPr>
          <w:color w:val="1F1F1F"/>
        </w:rPr>
        <w:t xml:space="preserve"> framework that departs from traditional models centered on predicting single diseases in isolation.</w:t>
      </w:r>
    </w:p>
    <w:p w14:paraId="5623CD23" w14:textId="77777777" w:rsidR="00EF647C" w:rsidRPr="00167F4D" w:rsidRDefault="00EF647C" w:rsidP="00D45496">
      <w:pPr>
        <w:spacing w:before="240" w:after="240"/>
        <w:ind w:left="284" w:right="-34"/>
        <w:jc w:val="both"/>
        <w:rPr>
          <w:color w:val="1F1F1F"/>
        </w:rPr>
      </w:pPr>
      <w:r w:rsidRPr="00167F4D">
        <w:rPr>
          <w:color w:val="1F1F1F"/>
        </w:rPr>
        <w:t xml:space="preserve">Instead of assessing one condition at a time, the system is designed to </w:t>
      </w:r>
      <w:r w:rsidRPr="00167F4D">
        <w:rPr>
          <w:b/>
          <w:bCs/>
          <w:color w:val="1F1F1F"/>
        </w:rPr>
        <w:t>simultaneously evaluate high-risk status across twelve interrelated chronic diseases</w:t>
      </w:r>
      <w:r w:rsidRPr="00167F4D">
        <w:rPr>
          <w:color w:val="1F1F1F"/>
        </w:rPr>
        <w:t>, capturing the deep physiological interconnectedness that characterizes major systemic illnesses.</w:t>
      </w:r>
    </w:p>
    <w:p w14:paraId="368190E1" w14:textId="77777777" w:rsidR="00EF647C" w:rsidRDefault="00EF647C" w:rsidP="00D45496">
      <w:pPr>
        <w:spacing w:before="240" w:after="240"/>
        <w:ind w:left="284" w:right="-34"/>
        <w:jc w:val="both"/>
      </w:pPr>
      <w:r w:rsidRPr="00167F4D">
        <w:rPr>
          <w:color w:val="1F1F1F"/>
        </w:rPr>
        <w:t xml:space="preserve">To enable this comprehensive perspective, the project organizes these diseases into </w:t>
      </w:r>
      <w:r w:rsidRPr="00167F4D">
        <w:rPr>
          <w:b/>
          <w:bCs/>
          <w:color w:val="1F1F1F"/>
        </w:rPr>
        <w:t>three key physiological domains</w:t>
      </w:r>
      <w:r w:rsidRPr="00167F4D">
        <w:rPr>
          <w:color w:val="1F1F1F"/>
        </w:rPr>
        <w:t>: Neuro-Cognitive, Cardiovascular, and Metabolic. This section outlines the essential definitions, system structure, and underlying mechanisms that support multi-domain risk prediction, establishing the theoretical foundation required to understand the advanced stratification model developed in this study.</w:t>
      </w:r>
    </w:p>
    <w:p w14:paraId="322AFB66" w14:textId="239FE76C" w:rsidR="00EF647C" w:rsidRDefault="00EF647C" w:rsidP="00973DE5">
      <w:pPr>
        <w:ind w:left="284" w:hanging="142"/>
      </w:pPr>
    </w:p>
    <w:p w14:paraId="7E83E922" w14:textId="77777777" w:rsidR="00EF647C" w:rsidRPr="00EF647C" w:rsidRDefault="00EF647C" w:rsidP="00D45496">
      <w:pPr>
        <w:ind w:left="142"/>
      </w:pPr>
    </w:p>
    <w:p w14:paraId="335B5C1F" w14:textId="77777777" w:rsidR="00B917A1" w:rsidRPr="00B917A1" w:rsidRDefault="00B917A1" w:rsidP="00D45496">
      <w:pPr>
        <w:pStyle w:val="ListParagraph"/>
        <w:numPr>
          <w:ilvl w:val="0"/>
          <w:numId w:val="8"/>
        </w:numPr>
        <w:tabs>
          <w:tab w:val="left" w:pos="284"/>
        </w:tabs>
        <w:ind w:left="142" w:firstLine="0"/>
        <w:rPr>
          <w:vanish/>
        </w:rPr>
      </w:pPr>
    </w:p>
    <w:p w14:paraId="50560D42" w14:textId="68146147" w:rsidR="00EF647C" w:rsidRDefault="00B917A1" w:rsidP="00D45496">
      <w:pPr>
        <w:pStyle w:val="ListParagraph"/>
        <w:numPr>
          <w:ilvl w:val="1"/>
          <w:numId w:val="8"/>
        </w:numPr>
        <w:tabs>
          <w:tab w:val="left" w:pos="284"/>
        </w:tabs>
        <w:ind w:left="142" w:firstLine="0"/>
      </w:pPr>
      <w:r w:rsidRPr="00B917A1">
        <w:t>Core Definitions and Project Scope</w:t>
      </w:r>
    </w:p>
    <w:p w14:paraId="396F406F" w14:textId="77777777" w:rsidR="00EF647C" w:rsidRDefault="00EF647C" w:rsidP="00973DE5">
      <w:pPr>
        <w:tabs>
          <w:tab w:val="left" w:pos="463"/>
        </w:tabs>
        <w:ind w:left="284" w:hanging="142"/>
      </w:pPr>
    </w:p>
    <w:p w14:paraId="5D822E57" w14:textId="2BE543FB" w:rsidR="00B917A1" w:rsidRPr="00B917A1" w:rsidRDefault="00B917A1" w:rsidP="00973DE5">
      <w:pPr>
        <w:pStyle w:val="ListParagraph"/>
        <w:numPr>
          <w:ilvl w:val="0"/>
          <w:numId w:val="12"/>
        </w:numPr>
        <w:tabs>
          <w:tab w:val="left" w:pos="463"/>
        </w:tabs>
        <w:ind w:left="284" w:hanging="142"/>
        <w:rPr>
          <w:color w:val="1F1F1F"/>
        </w:rPr>
      </w:pPr>
      <w:r w:rsidRPr="00B917A1">
        <w:rPr>
          <w:color w:val="1F1F1F"/>
        </w:rPr>
        <w:t>The Multi-Domain Chronic Disease Prediction System</w:t>
      </w:r>
      <w:r>
        <w:rPr>
          <w:color w:val="1F1F1F"/>
        </w:rPr>
        <w:t xml:space="preserve">. </w:t>
      </w:r>
      <w:r w:rsidRPr="00B917A1">
        <w:rPr>
          <w:color w:val="1F1F1F"/>
        </w:rPr>
        <w:t xml:space="preserve">The multi-domain chronic disease prediction system represents a comprehensive machine learning framework designed to address fundamental limitations in traditional healthcare risk assessment methodologies. Conventional predictive models in clinical medicine have historically adopted a reductionist approach, focusing analytical efforts on forecasting risk for individual diseases in isolation from other health conditions. This siloed methodology fails to capture the complex biological reality that chronic diseases rarely develop independently but rather emerge through interconnected pathways involving multiple physiological systems. The recognition of these interdependencies has driven the development of integrated prediction frameworks capable of simultaneously assessing </w:t>
      </w:r>
      <w:r w:rsidRPr="00B917A1">
        <w:rPr>
          <w:color w:val="1F1F1F"/>
        </w:rPr>
        <w:t>risk across multiple disease categories.</w:t>
      </w:r>
      <w:r>
        <w:rPr>
          <w:color w:val="1F1F1F"/>
        </w:rPr>
        <w:t xml:space="preserve"> </w:t>
      </w:r>
      <w:r w:rsidRPr="00B917A1">
        <w:rPr>
          <w:color w:val="1F1F1F"/>
        </w:rPr>
        <w:t xml:space="preserve">This </w:t>
      </w:r>
      <w:proofErr w:type="gramStart"/>
      <w:r w:rsidRPr="00B917A1">
        <w:rPr>
          <w:color w:val="1F1F1F"/>
        </w:rPr>
        <w:t>particular system</w:t>
      </w:r>
      <w:proofErr w:type="gramEnd"/>
      <w:r w:rsidRPr="00B917A1">
        <w:rPr>
          <w:color w:val="1F1F1F"/>
        </w:rPr>
        <w:t xml:space="preserve"> employs a multi-label classification architecture to generate simultaneous risk predictions for twelve major chronic diseases that collectively represent significant sources of morbidity, mortality, and healthcare expenditure in contemporary populations. The twelve target conditions include Type 2 Diabetes Mellitus (T2DM), </w:t>
      </w:r>
      <w:proofErr w:type="gramStart"/>
      <w:r w:rsidRPr="00B917A1">
        <w:rPr>
          <w:color w:val="1F1F1F"/>
        </w:rPr>
        <w:t>Chronic Kidney Disease</w:t>
      </w:r>
      <w:proofErr w:type="gramEnd"/>
      <w:r w:rsidRPr="00B917A1">
        <w:rPr>
          <w:color w:val="1F1F1F"/>
        </w:rPr>
        <w:t xml:space="preserve"> (CKD), Major Depressive Disorder (MDD), Hypertension (HTN), Stroke, Coronary Artery Disease (CAD), Hyperlipidemia, Alzheimer's Disease and Vascular Dementia (AD/VAD), Parkinson's Disease (PD), Atrial Fibrillation (AFib), Epilepsy, and Obesity. These conditions were selected based on their substantial prevalence in population health surveillance data, their significant impact on quality of life and healthcare utilization, and critically, their known biological interconnections that justify integrated modeling approaches.</w:t>
      </w:r>
      <w:r>
        <w:rPr>
          <w:color w:val="1F1F1F"/>
        </w:rPr>
        <w:t xml:space="preserve"> </w:t>
      </w:r>
      <w:r w:rsidRPr="00B917A1">
        <w:rPr>
          <w:color w:val="1F1F1F"/>
        </w:rPr>
        <w:t xml:space="preserve">The technical architecture implements the Binary Relevance approach to multi-label classification, wherein twelve independent XGBoost gradient boosting classifiers are trained, each dedicated to predicting risk for a specific disease target. While each classifier operates independently during prediction, all models share a common engineered feature set comprising thirty predictive variables derived from comprehensive patient health profiles. This shared </w:t>
      </w:r>
      <w:proofErr w:type="gramStart"/>
      <w:r w:rsidRPr="00B917A1">
        <w:rPr>
          <w:color w:val="1F1F1F"/>
        </w:rPr>
        <w:t>feature space</w:t>
      </w:r>
      <w:proofErr w:type="gramEnd"/>
      <w:r w:rsidRPr="00B917A1">
        <w:rPr>
          <w:color w:val="1F1F1F"/>
        </w:rPr>
        <w:t xml:space="preserve"> enables the system to leverage cross-disease information while maintaining computational efficiency and model interpretability. The XGBoost algorithm was selected as the base classifier due to its superior performance on tabular healthcare data, robust handling of missing values, built-in regularization mechanisms that prevent overfitting, and computational efficiency suitable for deployment scenarios requiring rapid risk assessment.</w:t>
      </w:r>
      <w:r>
        <w:rPr>
          <w:color w:val="1F1F1F"/>
        </w:rPr>
        <w:t xml:space="preserve"> </w:t>
      </w:r>
      <w:r w:rsidRPr="00B917A1">
        <w:rPr>
          <w:color w:val="1F1F1F"/>
        </w:rPr>
        <w:t xml:space="preserve">The foundational data source for model development is the Behavioral Risk Factor Surveillance System (BRFSS) 2023 dataset, a comprehensive population health survey conducted annually by the Centers for Disease Control and Prevention in collaboration with state health departments across the United States. The BRFSS represents </w:t>
      </w:r>
      <w:r w:rsidRPr="00B917A1">
        <w:rPr>
          <w:color w:val="1F1F1F"/>
        </w:rPr>
        <w:lastRenderedPageBreak/>
        <w:t xml:space="preserve">the largest continuously conducted health survey system in the world, collecting data on health-related risk behaviors, chronic health conditions, and use of preventive services from over 400,000 adult respondents annually. The 2023 dataset provides rich information across multiple dimensions including demographic characteristics, socioeconomic status, behavioral risk factors such as smoking and physical activity, clinical biomarkers including body mass index and glycemic control measures, self-reported chronic disease diagnoses, healthcare access and utilization patterns, and mental health indicators. This comprehensive data structure enables the construction of holistic patient profiles that capture the multifaceted nature of chronic </w:t>
      </w:r>
      <w:proofErr w:type="gramStart"/>
      <w:r w:rsidRPr="00B917A1">
        <w:rPr>
          <w:color w:val="1F1F1F"/>
        </w:rPr>
        <w:t>disease</w:t>
      </w:r>
      <w:proofErr w:type="gramEnd"/>
      <w:r w:rsidRPr="00B917A1">
        <w:rPr>
          <w:color w:val="1F1F1F"/>
        </w:rPr>
        <w:t xml:space="preserve"> risk extending beyond simple clinical measurements to encompass lifestyle, behavioral, and social determinants of health.</w:t>
      </w:r>
      <w:r>
        <w:rPr>
          <w:color w:val="1F1F1F"/>
        </w:rPr>
        <w:t xml:space="preserve"> </w:t>
      </w:r>
      <w:r w:rsidRPr="00B917A1">
        <w:rPr>
          <w:color w:val="1F1F1F"/>
        </w:rPr>
        <w:t>The system conceptualizes the twelve target diseases within three interconnected physiological domains: Neuro-Cognitive, Cardiovascular, and Metabolic. This domain-based organizational framework reflects fundamental biological principles wherein diseases within each domain share common pathophysiological mechanisms, risk factors, and progression pathways, while simultaneously exhibiting substantial cross-domain interactions. The Neuro-Cognitive domain encompasses conditions affecting brain function and mental health, the Cardiovascular domain addresses circulatory system integrity and cardiac function, and the Metabolic domain captures disorders of energy regulation and endocrine function. This tri-domain structure provides both a conceptual framework for understanding disease relationships and a practical organizing principle for interpreting model predictions and communicating risk profiles to clinical practitioners.</w:t>
      </w:r>
    </w:p>
    <w:p w14:paraId="41BBAD0A" w14:textId="77777777" w:rsidR="00B917A1" w:rsidRPr="00B917A1" w:rsidRDefault="00B917A1" w:rsidP="00973DE5">
      <w:pPr>
        <w:tabs>
          <w:tab w:val="left" w:pos="463"/>
        </w:tabs>
        <w:ind w:left="284" w:hanging="142"/>
        <w:jc w:val="both"/>
        <w:rPr>
          <w:color w:val="1F1F1F"/>
        </w:rPr>
      </w:pPr>
    </w:p>
    <w:p w14:paraId="50E47426" w14:textId="77777777" w:rsidR="00B917A1" w:rsidRDefault="00B917A1" w:rsidP="00973DE5">
      <w:pPr>
        <w:pStyle w:val="ListParagraph"/>
        <w:numPr>
          <w:ilvl w:val="0"/>
          <w:numId w:val="12"/>
        </w:numPr>
        <w:tabs>
          <w:tab w:val="left" w:pos="463"/>
        </w:tabs>
        <w:ind w:left="284" w:hanging="142"/>
        <w:rPr>
          <w:color w:val="1F1F1F"/>
        </w:rPr>
      </w:pPr>
      <w:r w:rsidRPr="00B917A1">
        <w:rPr>
          <w:color w:val="1F1F1F"/>
        </w:rPr>
        <w:t>Research System Development Context</w:t>
      </w:r>
    </w:p>
    <w:p w14:paraId="53D1D729" w14:textId="370F06B2" w:rsidR="00EF647C" w:rsidRPr="00B917A1" w:rsidRDefault="00B917A1" w:rsidP="00973DE5">
      <w:pPr>
        <w:pStyle w:val="ListParagraph"/>
        <w:tabs>
          <w:tab w:val="left" w:pos="463"/>
        </w:tabs>
        <w:ind w:left="284" w:hanging="142"/>
        <w:rPr>
          <w:color w:val="1F1F1F"/>
        </w:rPr>
      </w:pPr>
      <w:r w:rsidRPr="00B917A1">
        <w:rPr>
          <w:color w:val="1F1F1F"/>
        </w:rPr>
        <w:t xml:space="preserve">The development of this multi-disease prediction framework represents a comprehensive research initiative focused on advancing methodologies for integrated chronic disease risk assessment. Unlike commercial healthcare analytics platforms deployed in clinical settings with full regulatory compliance, operational support infrastructure, </w:t>
      </w:r>
      <w:r w:rsidRPr="00B917A1">
        <w:rPr>
          <w:color w:val="1F1F1F"/>
        </w:rPr>
        <w:t>and integration with electronic health record systems, this project constitutes an academic research system designed to demonstrate feasibility, validate methodological approaches, and establish proof-of-concept for multi-domain predictive modeling. The scope of development encompasses the complete machine learning pipeline from raw data acquisition through model training, validation, and performance evaluation, but does not extend to production deployment infrastructure, clinical workflow integration, or regulatory approval processes required for actual clinical implementation.</w:t>
      </w:r>
      <w:r>
        <w:rPr>
          <w:color w:val="1F1F1F"/>
        </w:rPr>
        <w:t xml:space="preserve"> </w:t>
      </w:r>
      <w:r w:rsidRPr="00B917A1">
        <w:rPr>
          <w:color w:val="1F1F1F"/>
        </w:rPr>
        <w:t xml:space="preserve">The development methodology adhered to established best practices in healthcare machine learning research, emphasizing reproducibility, transparency, and rigorous validation. All processing steps, modeling decisions, and evaluation metrics are comprehensively documented to enable independent verification and extension by other researchers. The codebase is organized into modular components addressing distinct phases of the analytical pipeline: data preprocessing and cleaning scripts that handle missing values, remove duplicates, and standardize variable encodings; feature engineering modules that generate derived variables encoding clinical domain knowledge; data leakage detection utilities that systematically identify and eliminate features containing inappropriate information; model training scripts implementing the multi-label classification architecture with hyperparameter optimization; and evaluation frameworks generating comprehensive performance metrics and interpretability analyses. A critical aspect of the development process involved systematic identification and mitigation of data leakage, a pernicious problem in healthcare machine learning where information unavailable at prediction time inadvertently influences model training. The team developed specialized diagnostic procedures to detect potential leakage through multiple complementary approaches. First, statistical analysis identified features exhibiting suspiciously high correlation with target variables, particularly those achieving near-perfect predictive performance indicative of direct encoding of disease status. Second, domain </w:t>
      </w:r>
      <w:r w:rsidRPr="00B917A1">
        <w:rPr>
          <w:color w:val="1F1F1F"/>
        </w:rPr>
        <w:lastRenderedPageBreak/>
        <w:t xml:space="preserve">knowledge review examined each feature to assess temporal validity—whether the information represented by the feature would genuinely be available before disease diagnosis in prospective prediction scenarios. Third, systematic exclusion experiments evaluated performance degradation when suspect features were removed, with minimal performance loss suggesting genuine predictive value while substantial degradation confirming leakage dependency. This rigorous leakage detection process identified over thirty problematic features requiring exclusion from the final model. These included direct disease diagnostic codes such as DIABETE4, BPHIGH6, CVDINFR4, and CVDSTRK3 that represent explicit disease status rather than risk factors; general health status variables like GENHLTH that inherently encode disease burden; mental health measures such as MENTHLTH and ADDEPEV3 that represent symptoms or diagnoses rather than predictive factors; and certain engineered features like MMSE cognitive scores for neurological predictions and comprehensive BMI-derived features for obesity prediction that created circular reasoning. The team created dual dataset versions—a standard version retaining all engineered features and a clean version with leaking features removed—enabling empirical assessment of leakage impact on reported performance metrics. This dual-dataset approach provides transparency regarding model capabilities and ensures that performance claims reflect genuine prospective predictive ability rather than retrospective pattern recognition of existing diagnoses. The feature engineering process transformed raw BRFSS survey responses into a refined set of thirty predictive variables designed to capture clinical patterns relevant to chronic disease development. These engineered features span multiple categories reflecting different aspects of disease risk. Clinical biomarker aggregations compute average values for key metabolic and cardiovascular indicators including AVG_A1C for glycemic control, AVG_GLUCOSE for blood sugar levels, AVG_HDL and AVG_LDL for cholesterol profiles, AVG_TRIGLYCERIDES for lipid metabolism, and AVG_ALB_CR_RATIO for </w:t>
      </w:r>
      <w:r w:rsidRPr="00B917A1">
        <w:rPr>
          <w:color w:val="1F1F1F"/>
        </w:rPr>
        <w:t xml:space="preserve">kidney function assessment. Temporal trend features capture disease progression dynamics through variables such as A1C_TREND indicating worsening or improving glycemic control, BMI_TREND tracking weight trajectory, and MMSE_DECLINE measuring cognitive function changes over time. Interaction features encode synergistic relationships between risk factors, exemplified by AGE_A1C_INTERACTION capturing the increased cardiovascular risk associated with poor glycemic control in older individuals, AGE_HTN_RISK modeling age-dependent hypertension effects, BMI_A1C_INTERACTION representing metabolic syndrome patterns, and COGNITIVE_AGE_RISK quantifying age-related cognitive vulnerability. Composite risk indices provide holistic health status indicators including COMORBIDITY_SCORE quantifying cumulative disease burden, FRAILTY_INDEX measuring overall physiological vulnerability, and categorical risk stratification variables like HEALTH_RISK_GROUP, AGE_RISK_GROUP, and BMI_RISK_GROUP that enable threshold-based clinical decision rules. Hyperparameter optimization employed grid search with cross-validation to identify optimal configurations for the XGBoost classifiers. The search space encompassed critical parameters controlling model complexity and regularization: </w:t>
      </w:r>
      <w:proofErr w:type="spellStart"/>
      <w:r w:rsidRPr="00B917A1">
        <w:rPr>
          <w:color w:val="1F1F1F"/>
        </w:rPr>
        <w:t>learning_rate</w:t>
      </w:r>
      <w:proofErr w:type="spellEnd"/>
      <w:r w:rsidRPr="00B917A1">
        <w:rPr>
          <w:color w:val="1F1F1F"/>
        </w:rPr>
        <w:t xml:space="preserve"> determining gradient descent step size, </w:t>
      </w:r>
      <w:proofErr w:type="spellStart"/>
      <w:r w:rsidRPr="00B917A1">
        <w:rPr>
          <w:color w:val="1F1F1F"/>
        </w:rPr>
        <w:t>max_depth</w:t>
      </w:r>
      <w:proofErr w:type="spellEnd"/>
      <w:r w:rsidRPr="00B917A1">
        <w:rPr>
          <w:color w:val="1F1F1F"/>
        </w:rPr>
        <w:t xml:space="preserve"> limiting tree depth to prevent overfitting, </w:t>
      </w:r>
      <w:proofErr w:type="spellStart"/>
      <w:r w:rsidRPr="00B917A1">
        <w:rPr>
          <w:color w:val="1F1F1F"/>
        </w:rPr>
        <w:t>n_estimators</w:t>
      </w:r>
      <w:proofErr w:type="spellEnd"/>
      <w:r w:rsidRPr="00B917A1">
        <w:rPr>
          <w:color w:val="1F1F1F"/>
        </w:rPr>
        <w:t xml:space="preserve"> specifying the number of boosting rounds, subsample controlling the fraction of training samples used per tree, </w:t>
      </w:r>
      <w:proofErr w:type="spellStart"/>
      <w:r w:rsidRPr="00B917A1">
        <w:rPr>
          <w:color w:val="1F1F1F"/>
        </w:rPr>
        <w:t>colsample_bytree</w:t>
      </w:r>
      <w:proofErr w:type="spellEnd"/>
      <w:r w:rsidRPr="00B917A1">
        <w:rPr>
          <w:color w:val="1F1F1F"/>
        </w:rPr>
        <w:t xml:space="preserve"> determining feature sampling ratios, and regularization parameters </w:t>
      </w:r>
      <w:proofErr w:type="spellStart"/>
      <w:r w:rsidRPr="00B917A1">
        <w:rPr>
          <w:color w:val="1F1F1F"/>
        </w:rPr>
        <w:t>reg_alpha</w:t>
      </w:r>
      <w:proofErr w:type="spellEnd"/>
      <w:r w:rsidRPr="00B917A1">
        <w:rPr>
          <w:color w:val="1F1F1F"/>
        </w:rPr>
        <w:t xml:space="preserve"> and </w:t>
      </w:r>
      <w:proofErr w:type="spellStart"/>
      <w:r w:rsidRPr="00B917A1">
        <w:rPr>
          <w:color w:val="1F1F1F"/>
        </w:rPr>
        <w:t>reg_lambda</w:t>
      </w:r>
      <w:proofErr w:type="spellEnd"/>
      <w:r w:rsidRPr="00B917A1">
        <w:rPr>
          <w:color w:val="1F1F1F"/>
        </w:rPr>
        <w:t xml:space="preserve"> applying L1 and L2 penalties respectively. The optimal configuration identified through this systematic search achieved </w:t>
      </w:r>
      <w:proofErr w:type="spellStart"/>
      <w:r w:rsidRPr="00B917A1">
        <w:rPr>
          <w:color w:val="1F1F1F"/>
        </w:rPr>
        <w:t>learning_rate</w:t>
      </w:r>
      <w:proofErr w:type="spellEnd"/>
      <w:r w:rsidRPr="00B917A1">
        <w:rPr>
          <w:color w:val="1F1F1F"/>
        </w:rPr>
        <w:t xml:space="preserve"> of 0.1 for stable convergence, </w:t>
      </w:r>
      <w:proofErr w:type="spellStart"/>
      <w:r w:rsidRPr="00B917A1">
        <w:rPr>
          <w:color w:val="1F1F1F"/>
        </w:rPr>
        <w:t>max_depth</w:t>
      </w:r>
      <w:proofErr w:type="spellEnd"/>
      <w:r w:rsidRPr="00B917A1">
        <w:rPr>
          <w:color w:val="1F1F1F"/>
        </w:rPr>
        <w:t xml:space="preserve"> of 6 balancing expressiveness against overfitting risk, </w:t>
      </w:r>
      <w:proofErr w:type="spellStart"/>
      <w:r w:rsidRPr="00B917A1">
        <w:rPr>
          <w:color w:val="1F1F1F"/>
        </w:rPr>
        <w:t>n_estimators</w:t>
      </w:r>
      <w:proofErr w:type="spellEnd"/>
      <w:r w:rsidRPr="00B917A1">
        <w:rPr>
          <w:color w:val="1F1F1F"/>
        </w:rPr>
        <w:t xml:space="preserve"> of 200 providing sufficient model complexity, subsample ratio of 0.7 for variance reduction, </w:t>
      </w:r>
      <w:proofErr w:type="spellStart"/>
      <w:r w:rsidRPr="00B917A1">
        <w:rPr>
          <w:color w:val="1F1F1F"/>
        </w:rPr>
        <w:t>colsample_bytree</w:t>
      </w:r>
      <w:proofErr w:type="spellEnd"/>
      <w:r w:rsidRPr="00B917A1">
        <w:rPr>
          <w:color w:val="1F1F1F"/>
        </w:rPr>
        <w:t xml:space="preserve"> of 0.8 enabling feature randomization, </w:t>
      </w:r>
      <w:proofErr w:type="spellStart"/>
      <w:r w:rsidRPr="00B917A1">
        <w:rPr>
          <w:color w:val="1F1F1F"/>
        </w:rPr>
        <w:t>reg_alpha</w:t>
      </w:r>
      <w:proofErr w:type="spellEnd"/>
      <w:r w:rsidRPr="00B917A1">
        <w:rPr>
          <w:color w:val="1F1F1F"/>
        </w:rPr>
        <w:t xml:space="preserve"> of 0.01 for mild L1 regularization, </w:t>
      </w:r>
      <w:proofErr w:type="spellStart"/>
      <w:r w:rsidRPr="00B917A1">
        <w:rPr>
          <w:color w:val="1F1F1F"/>
        </w:rPr>
        <w:t>reg_lambda</w:t>
      </w:r>
      <w:proofErr w:type="spellEnd"/>
      <w:r w:rsidRPr="00B917A1">
        <w:rPr>
          <w:color w:val="1F1F1F"/>
        </w:rPr>
        <w:t xml:space="preserve"> of 1 for moderate L2 regularization, and </w:t>
      </w:r>
      <w:proofErr w:type="spellStart"/>
      <w:r w:rsidRPr="00B917A1">
        <w:rPr>
          <w:color w:val="1F1F1F"/>
        </w:rPr>
        <w:t>min_child_weight</w:t>
      </w:r>
      <w:proofErr w:type="spellEnd"/>
      <w:r w:rsidRPr="00B917A1">
        <w:rPr>
          <w:color w:val="1F1F1F"/>
        </w:rPr>
        <w:t xml:space="preserve"> of 3 for conservative splitting </w:t>
      </w:r>
      <w:r w:rsidRPr="00B917A1">
        <w:rPr>
          <w:color w:val="1F1F1F"/>
        </w:rPr>
        <w:lastRenderedPageBreak/>
        <w:t>criteria. The evaluation framework generates comprehensive performance assessments for each disease-specific model using multiple complementary metrics. Area under the receiver operating characteristic curve (ROC-AUC) measures overall discriminative ability across all classification thresholds. Precision quantifies the proportion of positive predictions that are correct, critical for minimizing false alarms in clinical settings. Recall assesses the proportion of actual positive cases correctly identified, crucial for ensuring high-risk individuals are not overlooked. F1-score provides a harmonic mean balancing precision and recall. These metrics are computed on held-out test data comprising twenty percent of the original dataset, ensuring evaluation reflects generalization performance on previously unseen cases. Beyond quantitative metrics, the system implements SHAP analysis for each disease model, generating feature importance rankings and contribution visualizations that provide transparent insights into model decision-making processes, enabling clinicians to understand and validate the clinical reasoning underlying risk predictions.</w:t>
      </w:r>
    </w:p>
    <w:p w14:paraId="5BA05493" w14:textId="77777777" w:rsidR="00B917A1" w:rsidRPr="00B917A1" w:rsidRDefault="00B917A1" w:rsidP="00973DE5">
      <w:pPr>
        <w:tabs>
          <w:tab w:val="left" w:pos="463"/>
        </w:tabs>
        <w:ind w:left="284" w:hanging="142"/>
        <w:rPr>
          <w:color w:val="1F1F1F"/>
        </w:rPr>
      </w:pPr>
    </w:p>
    <w:p w14:paraId="1657AD19" w14:textId="3BA5A241" w:rsidR="00EF647C" w:rsidRDefault="00E57598" w:rsidP="00973DE5">
      <w:pPr>
        <w:pStyle w:val="ListParagraph"/>
        <w:numPr>
          <w:ilvl w:val="1"/>
          <w:numId w:val="8"/>
        </w:numPr>
        <w:tabs>
          <w:tab w:val="left" w:pos="463"/>
        </w:tabs>
        <w:ind w:left="284" w:hanging="142"/>
      </w:pPr>
      <w:r w:rsidRPr="00E57598">
        <w:t>Categories of Chronic Diseases: The Three Critical Domains</w:t>
      </w:r>
    </w:p>
    <w:p w14:paraId="4954B5F3" w14:textId="19D27F7F" w:rsidR="00E57598" w:rsidRDefault="00E57598" w:rsidP="00973DE5">
      <w:pPr>
        <w:tabs>
          <w:tab w:val="left" w:pos="463"/>
        </w:tabs>
        <w:ind w:left="284" w:hanging="142"/>
        <w:jc w:val="both"/>
        <w:rPr>
          <w:color w:val="1F1F1F"/>
        </w:rPr>
      </w:pPr>
      <w:r w:rsidRPr="00167F4D">
        <w:rPr>
          <w:color w:val="1F1F1F"/>
        </w:rPr>
        <w:t>The organizational framework conceptualizing twelve target diseases within three interconnected physiological domains reflects both biological principles and practical considerations for clinical interpretation. This tri-domain structure acknowledges that while diseases are modeled independently, they share common pathophysiological mechanisms within domains and exhibit substantial cross-domain interactions that justify integrated risk assessment.</w:t>
      </w:r>
    </w:p>
    <w:p w14:paraId="704EA786" w14:textId="77777777" w:rsidR="00E57598" w:rsidRDefault="00E57598" w:rsidP="00973DE5">
      <w:pPr>
        <w:tabs>
          <w:tab w:val="left" w:pos="463"/>
        </w:tabs>
        <w:ind w:left="284" w:hanging="142"/>
        <w:jc w:val="both"/>
        <w:rPr>
          <w:color w:val="1F1F1F"/>
        </w:rPr>
      </w:pPr>
    </w:p>
    <w:p w14:paraId="3A07376E" w14:textId="78114B3C" w:rsidR="00E57598" w:rsidRDefault="00E57598" w:rsidP="00973DE5">
      <w:pPr>
        <w:pStyle w:val="ListParagraph"/>
        <w:numPr>
          <w:ilvl w:val="0"/>
          <w:numId w:val="14"/>
        </w:numPr>
        <w:tabs>
          <w:tab w:val="left" w:pos="463"/>
        </w:tabs>
        <w:ind w:left="284" w:hanging="142"/>
      </w:pPr>
      <w:r>
        <w:t>Neuro-Cognitive Domain</w:t>
      </w:r>
    </w:p>
    <w:p w14:paraId="0068EFF7" w14:textId="77777777" w:rsidR="00E57598" w:rsidRDefault="00E57598" w:rsidP="00973DE5">
      <w:pPr>
        <w:tabs>
          <w:tab w:val="left" w:pos="463"/>
        </w:tabs>
        <w:ind w:left="284" w:hanging="142"/>
      </w:pPr>
    </w:p>
    <w:p w14:paraId="41E64B1B" w14:textId="77777777" w:rsidR="00E57598" w:rsidRDefault="00E57598" w:rsidP="00973DE5">
      <w:pPr>
        <w:tabs>
          <w:tab w:val="left" w:pos="463"/>
        </w:tabs>
        <w:ind w:left="284" w:hanging="142"/>
        <w:jc w:val="both"/>
      </w:pPr>
      <w:r>
        <w:t xml:space="preserve">The Neuro-Cognitive domain encompasses conditions affecting brain structure, neurological function, and mental health. This domain includes four major conditions: Major Depressive Disorder (MDD), Alzheimer's Disease and Vascular Dementia (AD/VAD), Parkinson's Disease (PD), and Epilepsy. These conditions </w:t>
      </w:r>
      <w:r>
        <w:t>share several common pathophysiological substrates including neurotransmitter dysregulation, neuroinflammatory processes, oxidative stress mechanisms, and vascular compromise affecting cerebral perfusion.</w:t>
      </w:r>
    </w:p>
    <w:p w14:paraId="3ADC23F9" w14:textId="77777777" w:rsidR="00E57598" w:rsidRDefault="00E57598" w:rsidP="00973DE5">
      <w:pPr>
        <w:tabs>
          <w:tab w:val="left" w:pos="463"/>
        </w:tabs>
        <w:ind w:left="284" w:hanging="142"/>
        <w:jc w:val="both"/>
      </w:pPr>
      <w:r>
        <w:t>Major Depressive Disorder represents a highly prevalent mental health condition characterized by persistent low mood, anhedonia, cognitive impairment, and somatic symptoms. MDD exhibits complex bidirectional relationships with other chronic diseases, serving both as a risk factor for and consequence of conditions like cardiovascular disease, diabetes, and obesity. The pathophysiology involves dysregulation of monoaminergic neurotransmitter systems, hypothalamic-pituitary-adrenal axis dysfunction, chronic inflammatory activation, and alterations in neuroplasticity. Predictive features for MDD in the model include mental health trend indicators, stress markers, social support measures, physical activity levels, and comorbidity patterns, as depression frequently co-occurs with multiple chronic conditions creating a synergistic disease burden.</w:t>
      </w:r>
    </w:p>
    <w:p w14:paraId="2A5CE724" w14:textId="77777777" w:rsidR="00E57598" w:rsidRDefault="00E57598" w:rsidP="00973DE5">
      <w:pPr>
        <w:tabs>
          <w:tab w:val="left" w:pos="463"/>
        </w:tabs>
        <w:ind w:left="284" w:hanging="142"/>
        <w:jc w:val="both"/>
      </w:pPr>
      <w:r>
        <w:t xml:space="preserve">Alzheimer's Disease and Vascular Dementia represent the two most common forms of dementia, often co-existing in mixed presentations. These progressive neurodegenerative conditions involve cognitive decline, memory impairment, and functional deterioration. Alzheimer's Disease features accumulation of amyloid-beta plaques and neurofibrillary tangles leading to neuronal death, while Vascular Dementia results from cerebrovascular </w:t>
      </w:r>
      <w:proofErr w:type="gramStart"/>
      <w:r>
        <w:t>disease causing</w:t>
      </w:r>
      <w:proofErr w:type="gramEnd"/>
      <w:r>
        <w:t xml:space="preserve"> chronic brain ischemia. Critical predictive features include age as the strongest risk factor, cognitive assessment scores measuring baseline function and decline trajectories, cardiovascular risk factors including hypertension and atherosclerosis that compromise cerebral blood flow, metabolic factors such as diabetes and hyperlipidemia that promote both vascular damage and direct neurotoxic effects, and genetic predisposition markers when available.</w:t>
      </w:r>
    </w:p>
    <w:p w14:paraId="491C2832" w14:textId="77777777" w:rsidR="00E57598" w:rsidRDefault="00E57598" w:rsidP="00973DE5">
      <w:pPr>
        <w:tabs>
          <w:tab w:val="left" w:pos="463"/>
        </w:tabs>
        <w:ind w:left="284" w:hanging="142"/>
        <w:jc w:val="both"/>
      </w:pPr>
      <w:r>
        <w:t xml:space="preserve">Parkinson's Disease constitutes a progressive neurodegenerative disorder characterized by motor symptoms including tremor, rigidity, bradykinesia, and postural instability, alongside </w:t>
      </w:r>
      <w:r>
        <w:lastRenderedPageBreak/>
        <w:t>non-motor manifestations such as cognitive impairment, mood disorders, and autonomic dysfunction. The underlying pathology involves selective death of dopaminergic neurons in the substantia nigra with accumulation of alpha-synuclein protein aggregates. Predictive modeling for Parkinson's faces significant challenges due to low population prevalence, insidious onset with subtle early symptoms, and complex multifactorial etiology. Key predictive features include advanced age, male sex, family history, exposure to environmental toxins, head trauma history, and certain lifestyle factors, though predictive accuracy remains limited compared to more prevalent conditions.</w:t>
      </w:r>
    </w:p>
    <w:p w14:paraId="583ED104" w14:textId="77777777" w:rsidR="00E57598" w:rsidRDefault="00E57598" w:rsidP="00973DE5">
      <w:pPr>
        <w:tabs>
          <w:tab w:val="left" w:pos="463"/>
        </w:tabs>
        <w:ind w:left="284" w:hanging="142"/>
        <w:jc w:val="both"/>
      </w:pPr>
      <w:r>
        <w:t>Epilepsy encompasses a heterogeneous group of disorders characterized by recurrent unprovoked seizures resulting from abnormal neuronal excitability. Epilepsy can arise from diverse etiologies including genetic predisposition, structural brain abnormalities, infectious causes, traumatic brain injury, stroke, and tumors, or remain idiopathic. Prediction of epilepsy risk in population-level data presents substantial challenges due to rarity, etiological heterogeneity, and limited availability of neuroimaging and electrophysiological data in survey datasets. Predictive features necessarily focus on identifiable risk factors such as prior head trauma, stroke history, family history, and comorbid neurological conditions, though model performance for epilepsy typically remains modest.</w:t>
      </w:r>
    </w:p>
    <w:p w14:paraId="094F7088" w14:textId="77777777" w:rsidR="00E57598" w:rsidRDefault="00E57598" w:rsidP="00973DE5">
      <w:pPr>
        <w:tabs>
          <w:tab w:val="left" w:pos="463"/>
        </w:tabs>
        <w:ind w:left="284" w:hanging="142"/>
        <w:jc w:val="both"/>
      </w:pPr>
    </w:p>
    <w:p w14:paraId="479CBB24" w14:textId="69BC6014" w:rsidR="00E57598" w:rsidRDefault="00E57598" w:rsidP="00B527C6">
      <w:pPr>
        <w:pStyle w:val="ListParagraph"/>
        <w:numPr>
          <w:ilvl w:val="0"/>
          <w:numId w:val="57"/>
        </w:numPr>
        <w:tabs>
          <w:tab w:val="left" w:pos="463"/>
        </w:tabs>
        <w:ind w:left="709"/>
      </w:pPr>
      <w:r>
        <w:t>Cardiovascular Domain</w:t>
      </w:r>
    </w:p>
    <w:p w14:paraId="034E6149" w14:textId="77777777" w:rsidR="00E57598" w:rsidRDefault="00E57598" w:rsidP="00973DE5">
      <w:pPr>
        <w:tabs>
          <w:tab w:val="left" w:pos="463"/>
        </w:tabs>
        <w:ind w:left="284" w:hanging="142"/>
        <w:jc w:val="both"/>
      </w:pPr>
    </w:p>
    <w:p w14:paraId="62C43495" w14:textId="77777777" w:rsidR="00E57598" w:rsidRDefault="00E57598" w:rsidP="00973DE5">
      <w:pPr>
        <w:tabs>
          <w:tab w:val="left" w:pos="463"/>
        </w:tabs>
        <w:ind w:left="284" w:hanging="142"/>
        <w:jc w:val="both"/>
      </w:pPr>
      <w:r>
        <w:t>The Cardiovascular domain addresses conditions affecting the heart and circulatory system, encompassing four major diseases: Hypertension (HTN), Stroke, Coronary Artery Disease (CAD), and Atrial Fibrillation (AFib). These conditions share fundamental pathophysiological processes including endothelial dysfunction, atherosclerotic plaque formation, inflammatory activation, thrombotic tendency, and hemodynamic stress.</w:t>
      </w:r>
    </w:p>
    <w:p w14:paraId="1C223689" w14:textId="77777777" w:rsidR="00E57598" w:rsidRDefault="00E57598" w:rsidP="00973DE5">
      <w:pPr>
        <w:tabs>
          <w:tab w:val="left" w:pos="463"/>
        </w:tabs>
        <w:ind w:left="284" w:hanging="142"/>
        <w:jc w:val="both"/>
      </w:pPr>
      <w:r>
        <w:t xml:space="preserve">Hypertension, defined as persistently elevated blood pressure, represents one of the most prevalent and consequential cardiovascular risk factors, affecting nearly half of adults in </w:t>
      </w:r>
      <w:r>
        <w:t>developed nations. HTN directly damages target organs including heart, brain, kidneys, and blood vessels through mechanical stress and accelerated atherosclerosis. The condition often remains asymptomatic until significant organ damage occurs, emphasizing the value of predictive risk assessment. Predictive features include age with progressive prevalence increase, body mass index reflecting obesity-related mechanisms, family history indicating genetic susceptibility, sodium intake and dietary patterns, physical activity levels, alcohol consumption, stress markers, and metabolic factors including diabetes and dyslipidemia. The model leverages these diverse inputs to identify individuals likely to develop hypertension, enabling early lifestyle interventions and monitoring.</w:t>
      </w:r>
    </w:p>
    <w:p w14:paraId="6792E9A7" w14:textId="77777777" w:rsidR="00E57598" w:rsidRDefault="00E57598" w:rsidP="00973DE5">
      <w:pPr>
        <w:tabs>
          <w:tab w:val="left" w:pos="463"/>
        </w:tabs>
        <w:ind w:left="284" w:hanging="142"/>
        <w:jc w:val="both"/>
      </w:pPr>
      <w:r>
        <w:t>Stroke represents acute cerebrovascular events resulting from either ischemic mechanisms (thrombotic or embolic arterial occlusion) or hemorrhagic mechanisms (vessel rupture). Stroke constitutes a leading cause of death and long-term disability worldwide, with prevention through risk factor modification representing a critical public health priority. Major predictive features include established cardiovascular risk factors such as hypertension, atrial fibrillation, diabetes, hyperlipidemia, and smoking, alongside demographic factors like advanced age and certain ethnic backgrounds, lifestyle factors including physical inactivity and poor diet, and prior cardiovascular events indicating existing atherosclerotic disease. The model identifies high-risk individuals who would benefit from aggressive risk factor control and potentially preventive anticoagulation in cases with atrial fibrillation.</w:t>
      </w:r>
    </w:p>
    <w:p w14:paraId="0A1A9B3D" w14:textId="77777777" w:rsidR="00E57598" w:rsidRDefault="00E57598" w:rsidP="00973DE5">
      <w:pPr>
        <w:tabs>
          <w:tab w:val="left" w:pos="463"/>
        </w:tabs>
        <w:ind w:left="284" w:hanging="142"/>
        <w:jc w:val="both"/>
      </w:pPr>
      <w:r>
        <w:t xml:space="preserve">Coronary Artery Disease involves atherosclerotic narrowing of coronary arteries supplying the heart muscle, leading to angina, myocardial infarction, heart failure, and sudden cardiac death. CAD shares risk factors with stroke, as </w:t>
      </w:r>
      <w:proofErr w:type="gramStart"/>
      <w:r>
        <w:t>both result</w:t>
      </w:r>
      <w:proofErr w:type="gramEnd"/>
      <w:r>
        <w:t xml:space="preserve"> from systemic atherosclerosis, but CAD specifically affects coronary circulation. Predictive features emphasize traditional cardiovascular risk factors comprehensively captured in established scoring systems: age, sex (male predominance), hypertension, diabetes, hyperlipidemia particularly LDL cholesterol </w:t>
      </w:r>
      <w:r>
        <w:lastRenderedPageBreak/>
        <w:t>elevation, smoking as a potent modifiable risk, family history indicating genetic susceptibility, obesity, physical inactivity, and psychosocial stress. The model integrates these factors with additional biomarkers including inflammatory markers, renal function, and metabolic syndrome features to generate comprehensive CAD risk estimates.</w:t>
      </w:r>
    </w:p>
    <w:p w14:paraId="39C23865" w14:textId="77777777" w:rsidR="00E57598" w:rsidRDefault="00E57598" w:rsidP="00973DE5">
      <w:pPr>
        <w:tabs>
          <w:tab w:val="left" w:pos="463"/>
        </w:tabs>
        <w:ind w:left="284" w:hanging="142"/>
        <w:jc w:val="both"/>
      </w:pPr>
      <w:r>
        <w:t>Atrial Fibrillation represents the most common sustained cardiac arrhythmia, characterized by chaotic atrial electrical activity replacing organized sinus rhythm. AFib significantly increases stroke risk through cardiac thromboembolism, promotes heart failure through loss of atrial contribution to ventricular filling, and causes symptomatic palpitations and reduced exercise tolerance. Predictive features include advanced age as the strongest risk factor, hypertension causing atrial structural remodeling, valvular heart disease, heart failure, diabetes, hyperthyroidism, obesity, sleep apnea, and excessive alcohol consumption. The relatively lower prevalence of AFib compared to hypertension presents modeling challenges related to class imbalance, requiring careful attention to sampling strategies and evaluation metrics.</w:t>
      </w:r>
    </w:p>
    <w:p w14:paraId="1F86BEAA" w14:textId="77777777" w:rsidR="00E57598" w:rsidRDefault="00E57598" w:rsidP="00973DE5">
      <w:pPr>
        <w:tabs>
          <w:tab w:val="left" w:pos="463"/>
        </w:tabs>
        <w:ind w:left="284" w:hanging="142"/>
        <w:jc w:val="both"/>
      </w:pPr>
    </w:p>
    <w:p w14:paraId="6AFA4E3C" w14:textId="72B5C3EE" w:rsidR="00E57598" w:rsidRDefault="00E57598" w:rsidP="00B527C6">
      <w:pPr>
        <w:pStyle w:val="ListParagraph"/>
        <w:numPr>
          <w:ilvl w:val="0"/>
          <w:numId w:val="12"/>
        </w:numPr>
        <w:tabs>
          <w:tab w:val="left" w:pos="463"/>
        </w:tabs>
      </w:pPr>
      <w:r>
        <w:t>Metabolic Domain</w:t>
      </w:r>
    </w:p>
    <w:p w14:paraId="19FF17CD" w14:textId="77777777" w:rsidR="00E57598" w:rsidRDefault="00E57598" w:rsidP="00973DE5">
      <w:pPr>
        <w:tabs>
          <w:tab w:val="left" w:pos="463"/>
        </w:tabs>
        <w:ind w:left="284" w:hanging="142"/>
        <w:jc w:val="both"/>
      </w:pPr>
    </w:p>
    <w:p w14:paraId="1F9841F2" w14:textId="77777777" w:rsidR="00E57598" w:rsidRDefault="00E57598" w:rsidP="00973DE5">
      <w:pPr>
        <w:tabs>
          <w:tab w:val="left" w:pos="463"/>
        </w:tabs>
        <w:ind w:left="284" w:hanging="142"/>
        <w:jc w:val="both"/>
      </w:pPr>
      <w:r>
        <w:t xml:space="preserve">The Metabolic domain encompasses disorders of energy regulation, glucose homeostasis, and lipid metabolism, including four major conditions: Type 2 Diabetes Mellitus (T2DM), </w:t>
      </w:r>
      <w:proofErr w:type="gramStart"/>
      <w:r>
        <w:t>Chronic Kidney Disease</w:t>
      </w:r>
      <w:proofErr w:type="gramEnd"/>
      <w:r>
        <w:t xml:space="preserve"> (CKD), Hyperlipidemia, and Obesity. These conditions exhibit particularly strong interconnections, often co-occurring as components of metabolic syndrome and sharing underlying mechanisms of insulin resistance, chronic inflammation, and oxidative stress.</w:t>
      </w:r>
    </w:p>
    <w:p w14:paraId="2F2694FE" w14:textId="77777777" w:rsidR="00E57598" w:rsidRDefault="00E57598" w:rsidP="00973DE5">
      <w:pPr>
        <w:tabs>
          <w:tab w:val="left" w:pos="463"/>
        </w:tabs>
        <w:ind w:left="284" w:hanging="142"/>
        <w:jc w:val="both"/>
      </w:pPr>
      <w:r>
        <w:t xml:space="preserve">Type 2 Diabetes Mellitus, characterized by insulin resistance and progressive beta-cell dysfunction leading to chronic hyperglycemia, affects over 10% of adults in developed nations and represents a major driver of cardiovascular disease, kidney </w:t>
      </w:r>
      <w:r>
        <w:t>failure, blindness, and neuropathy. Predictive features include obesity particularly visceral adiposity, family history indicating strong genetic component, physical inactivity, dietary patterns high in processed foods and sugars, gestational diabetes history in women, prediabetic glucose levels, elevated triglycerides, reduced HDL cholesterol, hypertension, and inflammatory markers. The model leverages longitudinal trends when available, such as progressive weight gain or worsening glycemic control markers, to identify individuals on trajectories toward diabetes before diagnostic thresholds are crossed.</w:t>
      </w:r>
    </w:p>
    <w:p w14:paraId="00D073E8" w14:textId="62FD27D2" w:rsidR="00E57598" w:rsidRDefault="00E57598" w:rsidP="00973DE5">
      <w:pPr>
        <w:tabs>
          <w:tab w:val="left" w:pos="463"/>
        </w:tabs>
        <w:ind w:left="284" w:hanging="142"/>
        <w:jc w:val="both"/>
      </w:pPr>
      <w:r>
        <w:t>Chronic Kidney Disease involves progressive loss of renal function measured by declining glomerular filtration rate and/or persistent albuminuria. CKD often develops as a complication of diabetes and hypertension but can also result from primary glomerular diseases, obstructive uropathy, and polycystic kidney disease. CKD substantially increases cardiovascular risk through multiple mechanisms including volume overload, hypertension, dyslipidemia, inflammation, and mineral metabolism disorders. Predictive features</w:t>
      </w:r>
      <w:r w:rsidRPr="00E57598">
        <w:t xml:space="preserve"> </w:t>
      </w:r>
      <w:r>
        <w:t>include diabetes as the leading cause, hypertension as both cause and consequence, older age, family history, obesity, cardiovascular disease, urinary tract abnormalities, and nephrotoxic medication exposure. The availability of kidney function biomarkers such as albumin-to-creatinine ratio in the BRFSS dataset enables direct assessment of early kidney damage, enhancing predictive capability for this condition.</w:t>
      </w:r>
    </w:p>
    <w:p w14:paraId="40F64D26" w14:textId="6AE4017F" w:rsidR="00973DE5" w:rsidRDefault="00E57598" w:rsidP="00973DE5">
      <w:pPr>
        <w:tabs>
          <w:tab w:val="left" w:pos="463"/>
        </w:tabs>
        <w:ind w:left="284" w:hanging="142"/>
        <w:jc w:val="both"/>
        <w:sectPr w:rsidR="00973DE5" w:rsidSect="002B0D69">
          <w:type w:val="continuous"/>
          <w:pgSz w:w="11910" w:h="16840"/>
          <w:pgMar w:top="1060" w:right="708" w:bottom="1340" w:left="708" w:header="763" w:footer="1143" w:gutter="0"/>
          <w:cols w:num="2" w:space="720"/>
        </w:sectPr>
      </w:pPr>
      <w:r>
        <w:t xml:space="preserve">Hyperlipidemia encompasses various patterns of dyslipidemia including elevated LDL cholesterol, reduced HDL cholesterol, and elevated triglycerides. These lipid abnormalities directly promote atherosclerosis through endothelial dysfunction, oxidative modification of lipoproteins, inflammatory activation, and plaque formation. Predictive features include family history indicating genetic dyslipidemias, dietary patterns particularly saturated fat and trans fat </w:t>
      </w:r>
    </w:p>
    <w:p w14:paraId="37C207F4" w14:textId="77777777" w:rsidR="00E57598" w:rsidRDefault="00E57598" w:rsidP="00EF647C">
      <w:pPr>
        <w:pStyle w:val="BodyText"/>
        <w:spacing w:line="276" w:lineRule="auto"/>
        <w:jc w:val="both"/>
      </w:pPr>
    </w:p>
    <w:tbl>
      <w:tblPr>
        <w:tblpPr w:leftFromText="180" w:rightFromText="180" w:vertAnchor="text" w:horzAnchor="margin" w:tblpXSpec="center" w:tblpY="214"/>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1843"/>
        <w:gridCol w:w="1984"/>
        <w:gridCol w:w="1843"/>
        <w:gridCol w:w="1418"/>
        <w:gridCol w:w="2268"/>
      </w:tblGrid>
      <w:tr w:rsidR="00E57598" w14:paraId="5981A80C" w14:textId="77777777">
        <w:trPr>
          <w:trHeight w:val="511"/>
        </w:trPr>
        <w:tc>
          <w:tcPr>
            <w:tcW w:w="1838" w:type="dxa"/>
            <w:tcMar>
              <w:top w:w="100" w:type="dxa"/>
              <w:left w:w="100" w:type="dxa"/>
              <w:bottom w:w="100" w:type="dxa"/>
              <w:right w:w="100" w:type="dxa"/>
            </w:tcMar>
          </w:tcPr>
          <w:p w14:paraId="285FBAD9" w14:textId="77777777" w:rsidR="00E57598" w:rsidRPr="00E57598" w:rsidRDefault="00E57598" w:rsidP="00E57598">
            <w:pPr>
              <w:spacing w:before="240" w:after="240"/>
            </w:pPr>
            <w:r w:rsidRPr="00E57598">
              <w:lastRenderedPageBreak/>
              <w:t>Domain</w:t>
            </w:r>
          </w:p>
        </w:tc>
        <w:tc>
          <w:tcPr>
            <w:tcW w:w="1843" w:type="dxa"/>
            <w:tcMar>
              <w:top w:w="100" w:type="dxa"/>
              <w:left w:w="100" w:type="dxa"/>
              <w:bottom w:w="100" w:type="dxa"/>
              <w:right w:w="100" w:type="dxa"/>
            </w:tcMar>
          </w:tcPr>
          <w:p w14:paraId="7B8FDCF6" w14:textId="77777777" w:rsidR="00E57598" w:rsidRPr="00E57598" w:rsidRDefault="00E57598" w:rsidP="00E57598">
            <w:pPr>
              <w:spacing w:before="240" w:after="240"/>
            </w:pPr>
            <w:r w:rsidRPr="00E57598">
              <w:t>Diseases Included</w:t>
            </w:r>
          </w:p>
        </w:tc>
        <w:tc>
          <w:tcPr>
            <w:tcW w:w="1984" w:type="dxa"/>
            <w:tcMar>
              <w:top w:w="100" w:type="dxa"/>
              <w:left w:w="100" w:type="dxa"/>
              <w:bottom w:w="100" w:type="dxa"/>
              <w:right w:w="100" w:type="dxa"/>
            </w:tcMar>
          </w:tcPr>
          <w:p w14:paraId="591CCA2B" w14:textId="77777777" w:rsidR="00E57598" w:rsidRPr="00E57598" w:rsidRDefault="00E57598" w:rsidP="00E57598">
            <w:pPr>
              <w:spacing w:before="240" w:after="240"/>
            </w:pPr>
            <w:r w:rsidRPr="00E57598">
              <w:t>Shared Pathophysiology</w:t>
            </w:r>
          </w:p>
        </w:tc>
        <w:tc>
          <w:tcPr>
            <w:tcW w:w="1843" w:type="dxa"/>
            <w:tcMar>
              <w:top w:w="100" w:type="dxa"/>
              <w:left w:w="100" w:type="dxa"/>
              <w:bottom w:w="100" w:type="dxa"/>
              <w:right w:w="100" w:type="dxa"/>
            </w:tcMar>
          </w:tcPr>
          <w:p w14:paraId="4084B6C0" w14:textId="77777777" w:rsidR="00E57598" w:rsidRPr="00E57598" w:rsidRDefault="00E57598" w:rsidP="00E57598">
            <w:pPr>
              <w:spacing w:before="240" w:after="240"/>
            </w:pPr>
            <w:r w:rsidRPr="00E57598">
              <w:t>Key Cross-Domain Links</w:t>
            </w:r>
          </w:p>
        </w:tc>
        <w:tc>
          <w:tcPr>
            <w:tcW w:w="1418" w:type="dxa"/>
            <w:tcMar>
              <w:top w:w="100" w:type="dxa"/>
              <w:left w:w="100" w:type="dxa"/>
              <w:bottom w:w="100" w:type="dxa"/>
              <w:right w:w="100" w:type="dxa"/>
            </w:tcMar>
          </w:tcPr>
          <w:p w14:paraId="3E63C981" w14:textId="77777777" w:rsidR="00E57598" w:rsidRPr="00E57598" w:rsidRDefault="00E57598" w:rsidP="00E57598">
            <w:pPr>
              <w:spacing w:before="240" w:after="240"/>
            </w:pPr>
            <w:r w:rsidRPr="00E57598">
              <w:t>Prevalence</w:t>
            </w:r>
          </w:p>
        </w:tc>
        <w:tc>
          <w:tcPr>
            <w:tcW w:w="2268" w:type="dxa"/>
            <w:tcMar>
              <w:top w:w="100" w:type="dxa"/>
              <w:left w:w="100" w:type="dxa"/>
              <w:bottom w:w="100" w:type="dxa"/>
              <w:right w:w="100" w:type="dxa"/>
            </w:tcMar>
          </w:tcPr>
          <w:p w14:paraId="153626F8" w14:textId="77777777" w:rsidR="00E57598" w:rsidRPr="00E57598" w:rsidRDefault="00E57598" w:rsidP="00E57598">
            <w:pPr>
              <w:spacing w:before="240" w:after="240"/>
            </w:pPr>
            <w:r w:rsidRPr="00E57598">
              <w:t>Modeling Challenges</w:t>
            </w:r>
          </w:p>
        </w:tc>
      </w:tr>
      <w:tr w:rsidR="00E57598" w14:paraId="52F313F1" w14:textId="77777777">
        <w:trPr>
          <w:trHeight w:val="2305"/>
        </w:trPr>
        <w:tc>
          <w:tcPr>
            <w:tcW w:w="1838" w:type="dxa"/>
            <w:tcMar>
              <w:top w:w="100" w:type="dxa"/>
              <w:left w:w="100" w:type="dxa"/>
              <w:bottom w:w="100" w:type="dxa"/>
              <w:right w:w="100" w:type="dxa"/>
            </w:tcMar>
          </w:tcPr>
          <w:p w14:paraId="5E18B7CA" w14:textId="77777777" w:rsidR="00E57598" w:rsidRPr="00E57598" w:rsidRDefault="00E57598" w:rsidP="00E57598">
            <w:pPr>
              <w:spacing w:before="240" w:after="240"/>
            </w:pPr>
            <w:r w:rsidRPr="00E57598">
              <w:t>Neuro-Cognitive</w:t>
            </w:r>
          </w:p>
        </w:tc>
        <w:tc>
          <w:tcPr>
            <w:tcW w:w="1843" w:type="dxa"/>
            <w:tcMar>
              <w:top w:w="100" w:type="dxa"/>
              <w:left w:w="100" w:type="dxa"/>
              <w:bottom w:w="100" w:type="dxa"/>
              <w:right w:w="100" w:type="dxa"/>
            </w:tcMar>
          </w:tcPr>
          <w:p w14:paraId="754F9BA4" w14:textId="77777777" w:rsidR="00E57598" w:rsidRPr="00E57598" w:rsidRDefault="00E57598" w:rsidP="00E57598">
            <w:pPr>
              <w:spacing w:before="240" w:after="240"/>
            </w:pPr>
            <w:r w:rsidRPr="00E57598">
              <w:t>• Major Depressive Disorder (MDD)</w:t>
            </w:r>
          </w:p>
          <w:p w14:paraId="0A12EBED" w14:textId="77777777" w:rsidR="00E57598" w:rsidRPr="00E57598" w:rsidRDefault="00E57598" w:rsidP="00E57598">
            <w:pPr>
              <w:spacing w:before="240" w:after="240"/>
            </w:pPr>
            <w:r w:rsidRPr="00E57598">
              <w:t>• Alzheimer's / Vascular Dementia (AD/VAD)</w:t>
            </w:r>
          </w:p>
          <w:p w14:paraId="12F194A1" w14:textId="77777777" w:rsidR="00E57598" w:rsidRPr="00E57598" w:rsidRDefault="00E57598" w:rsidP="00E57598">
            <w:pPr>
              <w:spacing w:before="240" w:after="240"/>
            </w:pPr>
            <w:r w:rsidRPr="00E57598">
              <w:t>• Parkinson's Disease (PD)</w:t>
            </w:r>
          </w:p>
          <w:p w14:paraId="58DF9A6F" w14:textId="77777777" w:rsidR="00E57598" w:rsidRPr="00E57598" w:rsidRDefault="00E57598" w:rsidP="00E57598">
            <w:pPr>
              <w:spacing w:before="240" w:after="240"/>
            </w:pPr>
            <w:r w:rsidRPr="00E57598">
              <w:t>• Epilepsy</w:t>
            </w:r>
          </w:p>
        </w:tc>
        <w:tc>
          <w:tcPr>
            <w:tcW w:w="1984" w:type="dxa"/>
            <w:tcMar>
              <w:top w:w="100" w:type="dxa"/>
              <w:left w:w="100" w:type="dxa"/>
              <w:bottom w:w="100" w:type="dxa"/>
              <w:right w:w="100" w:type="dxa"/>
            </w:tcMar>
          </w:tcPr>
          <w:p w14:paraId="15348C23" w14:textId="77777777" w:rsidR="00E57598" w:rsidRPr="00E57598" w:rsidRDefault="00E57598" w:rsidP="00E57598">
            <w:pPr>
              <w:spacing w:before="240" w:after="240"/>
            </w:pPr>
            <w:r w:rsidRPr="00E57598">
              <w:t>• Neurotransmitter dysregulation</w:t>
            </w:r>
          </w:p>
          <w:p w14:paraId="1BF0DF34" w14:textId="77777777" w:rsidR="00E57598" w:rsidRPr="00E57598" w:rsidRDefault="00E57598" w:rsidP="00E57598">
            <w:pPr>
              <w:spacing w:before="240" w:after="240"/>
            </w:pPr>
            <w:r w:rsidRPr="00E57598">
              <w:t>•Neuroinflammation</w:t>
            </w:r>
          </w:p>
          <w:p w14:paraId="02AF821F" w14:textId="77777777" w:rsidR="00E57598" w:rsidRPr="00E57598" w:rsidRDefault="00E57598" w:rsidP="00E57598">
            <w:pPr>
              <w:spacing w:before="240" w:after="240"/>
            </w:pPr>
            <w:r w:rsidRPr="00E57598">
              <w:t>• Vascular compromise</w:t>
            </w:r>
          </w:p>
          <w:p w14:paraId="221F8387" w14:textId="77777777" w:rsidR="00E57598" w:rsidRPr="00E57598" w:rsidRDefault="00E57598" w:rsidP="00E57598">
            <w:pPr>
              <w:spacing w:before="240" w:after="240"/>
            </w:pPr>
            <w:r w:rsidRPr="00E57598">
              <w:t>• Oxidative stress</w:t>
            </w:r>
          </w:p>
        </w:tc>
        <w:tc>
          <w:tcPr>
            <w:tcW w:w="1843" w:type="dxa"/>
            <w:tcMar>
              <w:top w:w="100" w:type="dxa"/>
              <w:left w:w="100" w:type="dxa"/>
              <w:bottom w:w="100" w:type="dxa"/>
              <w:right w:w="100" w:type="dxa"/>
            </w:tcMar>
          </w:tcPr>
          <w:p w14:paraId="2E05A897" w14:textId="77777777" w:rsidR="00E57598" w:rsidRPr="00E57598" w:rsidRDefault="00E57598" w:rsidP="00E57598">
            <w:pPr>
              <w:spacing w:before="240" w:after="240"/>
            </w:pPr>
            <w:r w:rsidRPr="00E57598">
              <w:t>• Vascular factors link to CVD domain</w:t>
            </w:r>
          </w:p>
          <w:p w14:paraId="2A216B78" w14:textId="77777777" w:rsidR="00E57598" w:rsidRPr="00E57598" w:rsidRDefault="00E57598" w:rsidP="00E57598">
            <w:pPr>
              <w:spacing w:before="240" w:after="240"/>
            </w:pPr>
            <w:r w:rsidRPr="00E57598">
              <w:t>• Metabolic dysfunction affects brain health</w:t>
            </w:r>
          </w:p>
          <w:p w14:paraId="5F24A06D" w14:textId="77777777" w:rsidR="00E57598" w:rsidRPr="00E57598" w:rsidRDefault="00E57598" w:rsidP="00E57598">
            <w:pPr>
              <w:spacing w:before="240" w:after="240"/>
            </w:pPr>
            <w:r w:rsidRPr="00E57598">
              <w:t>• Depression bidirectional with chronic disease</w:t>
            </w:r>
          </w:p>
        </w:tc>
        <w:tc>
          <w:tcPr>
            <w:tcW w:w="1418" w:type="dxa"/>
            <w:tcMar>
              <w:top w:w="100" w:type="dxa"/>
              <w:left w:w="100" w:type="dxa"/>
              <w:bottom w:w="100" w:type="dxa"/>
              <w:right w:w="100" w:type="dxa"/>
            </w:tcMar>
          </w:tcPr>
          <w:p w14:paraId="1B2B5A87" w14:textId="77777777" w:rsidR="00E57598" w:rsidRPr="00E57598" w:rsidRDefault="00E57598" w:rsidP="00E57598">
            <w:pPr>
              <w:spacing w:before="240" w:after="240"/>
            </w:pPr>
            <w:r w:rsidRPr="00E57598">
              <w:t>• MDD: ~7%</w:t>
            </w:r>
          </w:p>
          <w:p w14:paraId="693CBA38" w14:textId="77777777" w:rsidR="00E57598" w:rsidRPr="00E57598" w:rsidRDefault="00E57598" w:rsidP="00E57598">
            <w:pPr>
              <w:spacing w:before="240" w:after="240"/>
            </w:pPr>
            <w:r w:rsidRPr="00E57598">
              <w:t>• AD/VAD: ~5% (age 65+)</w:t>
            </w:r>
          </w:p>
          <w:p w14:paraId="59C0D3A1" w14:textId="77777777" w:rsidR="00E57598" w:rsidRPr="00E57598" w:rsidRDefault="00E57598" w:rsidP="00E57598">
            <w:pPr>
              <w:spacing w:before="240" w:after="240"/>
            </w:pPr>
            <w:r w:rsidRPr="00E57598">
              <w:t>• PD: &lt;1%</w:t>
            </w:r>
          </w:p>
          <w:p w14:paraId="5583A6CC" w14:textId="77777777" w:rsidR="00E57598" w:rsidRPr="00E57598" w:rsidRDefault="00E57598" w:rsidP="00E57598">
            <w:pPr>
              <w:spacing w:before="240" w:after="240"/>
            </w:pPr>
            <w:r w:rsidRPr="00E57598">
              <w:t>• Epilepsy: ~1%</w:t>
            </w:r>
          </w:p>
        </w:tc>
        <w:tc>
          <w:tcPr>
            <w:tcW w:w="2268" w:type="dxa"/>
            <w:tcMar>
              <w:top w:w="100" w:type="dxa"/>
              <w:left w:w="100" w:type="dxa"/>
              <w:bottom w:w="100" w:type="dxa"/>
              <w:right w:w="100" w:type="dxa"/>
            </w:tcMar>
          </w:tcPr>
          <w:p w14:paraId="36A2BBBF" w14:textId="77777777" w:rsidR="00E57598" w:rsidRPr="00E57598" w:rsidRDefault="00E57598" w:rsidP="00E57598">
            <w:pPr>
              <w:spacing w:before="240" w:after="240"/>
            </w:pPr>
            <w:r w:rsidRPr="00E57598">
              <w:t>• Low prevalence (PD, Epilepsy)</w:t>
            </w:r>
          </w:p>
          <w:p w14:paraId="1C096DD9" w14:textId="77777777" w:rsidR="00E57598" w:rsidRPr="00E57598" w:rsidRDefault="00E57598" w:rsidP="00E57598">
            <w:pPr>
              <w:spacing w:before="240" w:after="240"/>
            </w:pPr>
            <w:r w:rsidRPr="00E57598">
              <w:t>• Insidious onset</w:t>
            </w:r>
          </w:p>
          <w:p w14:paraId="30C7E10B" w14:textId="77777777" w:rsidR="00E57598" w:rsidRPr="00E57598" w:rsidRDefault="00E57598" w:rsidP="00E57598">
            <w:pPr>
              <w:spacing w:before="240" w:after="240"/>
            </w:pPr>
            <w:r w:rsidRPr="00E57598">
              <w:t>• Limited biomarkers in surveys</w:t>
            </w:r>
          </w:p>
          <w:p w14:paraId="7F113A36" w14:textId="77777777" w:rsidR="00E57598" w:rsidRPr="00E57598" w:rsidRDefault="00E57598" w:rsidP="00E57598">
            <w:pPr>
              <w:spacing w:before="240" w:after="240"/>
            </w:pPr>
            <w:r w:rsidRPr="00E57598">
              <w:t>• Heterogeneous etiologies</w:t>
            </w:r>
          </w:p>
        </w:tc>
      </w:tr>
      <w:tr w:rsidR="00E57598" w14:paraId="474F15CB" w14:textId="77777777">
        <w:trPr>
          <w:trHeight w:val="2485"/>
        </w:trPr>
        <w:tc>
          <w:tcPr>
            <w:tcW w:w="1838" w:type="dxa"/>
            <w:tcMar>
              <w:top w:w="100" w:type="dxa"/>
              <w:left w:w="100" w:type="dxa"/>
              <w:bottom w:w="100" w:type="dxa"/>
              <w:right w:w="100" w:type="dxa"/>
            </w:tcMar>
          </w:tcPr>
          <w:p w14:paraId="5250D4CC" w14:textId="77777777" w:rsidR="00E57598" w:rsidRPr="00E57598" w:rsidRDefault="00E57598" w:rsidP="00E57598">
            <w:pPr>
              <w:spacing w:before="240" w:after="240"/>
            </w:pPr>
            <w:r w:rsidRPr="00E57598">
              <w:t>Cardiovascular</w:t>
            </w:r>
          </w:p>
        </w:tc>
        <w:tc>
          <w:tcPr>
            <w:tcW w:w="1843" w:type="dxa"/>
            <w:tcMar>
              <w:top w:w="100" w:type="dxa"/>
              <w:left w:w="100" w:type="dxa"/>
              <w:bottom w:w="100" w:type="dxa"/>
              <w:right w:w="100" w:type="dxa"/>
            </w:tcMar>
          </w:tcPr>
          <w:p w14:paraId="0200848F" w14:textId="77777777" w:rsidR="00E57598" w:rsidRPr="00E57598" w:rsidRDefault="00E57598" w:rsidP="00E57598">
            <w:pPr>
              <w:spacing w:before="240" w:after="240"/>
            </w:pPr>
            <w:r w:rsidRPr="00E57598">
              <w:t>• Hypertension (HTN)</w:t>
            </w:r>
          </w:p>
          <w:p w14:paraId="68EA0B62" w14:textId="77777777" w:rsidR="00E57598" w:rsidRPr="00E57598" w:rsidRDefault="00E57598" w:rsidP="00E57598">
            <w:pPr>
              <w:spacing w:before="240" w:after="240"/>
            </w:pPr>
            <w:r w:rsidRPr="00E57598">
              <w:t>• Stroke</w:t>
            </w:r>
          </w:p>
          <w:p w14:paraId="75C39999" w14:textId="77777777" w:rsidR="00E57598" w:rsidRPr="00E57598" w:rsidRDefault="00E57598" w:rsidP="00E57598">
            <w:pPr>
              <w:spacing w:before="240" w:after="240"/>
            </w:pPr>
            <w:r w:rsidRPr="00E57598">
              <w:t>• Coronary Artery Disease (CAD)</w:t>
            </w:r>
          </w:p>
          <w:p w14:paraId="6BE8821C" w14:textId="77777777" w:rsidR="00E57598" w:rsidRPr="00E57598" w:rsidRDefault="00E57598" w:rsidP="00E57598">
            <w:pPr>
              <w:spacing w:before="240" w:after="240"/>
            </w:pPr>
            <w:r w:rsidRPr="00E57598">
              <w:t>• Atrial Fibrillation (AFib)</w:t>
            </w:r>
          </w:p>
        </w:tc>
        <w:tc>
          <w:tcPr>
            <w:tcW w:w="1984" w:type="dxa"/>
            <w:tcMar>
              <w:top w:w="100" w:type="dxa"/>
              <w:left w:w="100" w:type="dxa"/>
              <w:bottom w:w="100" w:type="dxa"/>
              <w:right w:w="100" w:type="dxa"/>
            </w:tcMar>
          </w:tcPr>
          <w:p w14:paraId="51D44C01" w14:textId="77777777" w:rsidR="00E57598" w:rsidRPr="00E57598" w:rsidRDefault="00E57598" w:rsidP="00E57598">
            <w:pPr>
              <w:spacing w:before="240" w:after="240"/>
            </w:pPr>
            <w:r w:rsidRPr="00E57598">
              <w:t>• Endothelial dysfunction</w:t>
            </w:r>
          </w:p>
          <w:p w14:paraId="5874A87D" w14:textId="77777777" w:rsidR="00E57598" w:rsidRPr="00E57598" w:rsidRDefault="00E57598" w:rsidP="00E57598">
            <w:pPr>
              <w:spacing w:before="240" w:after="240"/>
            </w:pPr>
            <w:r w:rsidRPr="00E57598">
              <w:t>• Atherosclerosis</w:t>
            </w:r>
          </w:p>
          <w:p w14:paraId="0E70B35B" w14:textId="77777777" w:rsidR="00E57598" w:rsidRPr="00E57598" w:rsidRDefault="00E57598" w:rsidP="00E57598">
            <w:pPr>
              <w:spacing w:before="240" w:after="240"/>
            </w:pPr>
            <w:r w:rsidRPr="00E57598">
              <w:t>• Thrombosis</w:t>
            </w:r>
          </w:p>
          <w:p w14:paraId="149D6BC6" w14:textId="77777777" w:rsidR="00E57598" w:rsidRPr="00E57598" w:rsidRDefault="00E57598" w:rsidP="00E57598">
            <w:pPr>
              <w:spacing w:before="240" w:after="240"/>
            </w:pPr>
            <w:r w:rsidRPr="00E57598">
              <w:t>• Hemodynamic stress</w:t>
            </w:r>
          </w:p>
          <w:p w14:paraId="763C49DE" w14:textId="77777777" w:rsidR="00E57598" w:rsidRPr="00E57598" w:rsidRDefault="00E57598" w:rsidP="00E57598">
            <w:pPr>
              <w:spacing w:before="240" w:after="240"/>
            </w:pPr>
            <w:r w:rsidRPr="00E57598">
              <w:t>• Inflammation</w:t>
            </w:r>
          </w:p>
        </w:tc>
        <w:tc>
          <w:tcPr>
            <w:tcW w:w="1843" w:type="dxa"/>
            <w:tcMar>
              <w:top w:w="100" w:type="dxa"/>
              <w:left w:w="100" w:type="dxa"/>
              <w:bottom w:w="100" w:type="dxa"/>
              <w:right w:w="100" w:type="dxa"/>
            </w:tcMar>
          </w:tcPr>
          <w:p w14:paraId="01EAB9AC" w14:textId="77777777" w:rsidR="00E57598" w:rsidRPr="00E57598" w:rsidRDefault="00E57598" w:rsidP="00E57598">
            <w:pPr>
              <w:spacing w:before="240" w:after="240"/>
            </w:pPr>
            <w:r w:rsidRPr="00E57598">
              <w:t>• Metabolic factors (diabetes, dyslipidemia) are major CVD drivers</w:t>
            </w:r>
          </w:p>
          <w:p w14:paraId="24E19DE1" w14:textId="77777777" w:rsidR="00E57598" w:rsidRPr="00E57598" w:rsidRDefault="00E57598" w:rsidP="00E57598">
            <w:pPr>
              <w:spacing w:before="240" w:after="240"/>
            </w:pPr>
            <w:r w:rsidRPr="00E57598">
              <w:t>• Stroke causes vascular dementia</w:t>
            </w:r>
          </w:p>
          <w:p w14:paraId="7E728286" w14:textId="77777777" w:rsidR="00E57598" w:rsidRPr="00E57598" w:rsidRDefault="00E57598" w:rsidP="00E57598">
            <w:pPr>
              <w:spacing w:before="240" w:after="240"/>
            </w:pPr>
            <w:r w:rsidRPr="00E57598">
              <w:t>• CVD shares risk factors across conditions</w:t>
            </w:r>
          </w:p>
        </w:tc>
        <w:tc>
          <w:tcPr>
            <w:tcW w:w="1418" w:type="dxa"/>
            <w:tcMar>
              <w:top w:w="100" w:type="dxa"/>
              <w:left w:w="100" w:type="dxa"/>
              <w:bottom w:w="100" w:type="dxa"/>
              <w:right w:w="100" w:type="dxa"/>
            </w:tcMar>
          </w:tcPr>
          <w:p w14:paraId="0A0651F5" w14:textId="77777777" w:rsidR="00E57598" w:rsidRPr="00E57598" w:rsidRDefault="00E57598" w:rsidP="00E57598">
            <w:pPr>
              <w:spacing w:before="240" w:after="240"/>
            </w:pPr>
            <w:r w:rsidRPr="00E57598">
              <w:t>• HTN: ~45%</w:t>
            </w:r>
          </w:p>
          <w:p w14:paraId="2F82E079" w14:textId="77777777" w:rsidR="00E57598" w:rsidRPr="00E57598" w:rsidRDefault="00E57598" w:rsidP="00E57598">
            <w:pPr>
              <w:spacing w:before="240" w:after="240"/>
            </w:pPr>
            <w:r w:rsidRPr="00E57598">
              <w:t>• CAD: ~7%</w:t>
            </w:r>
          </w:p>
          <w:p w14:paraId="4AEA4BD6" w14:textId="77777777" w:rsidR="00E57598" w:rsidRPr="00E57598" w:rsidRDefault="00E57598" w:rsidP="00E57598">
            <w:pPr>
              <w:spacing w:before="240" w:after="240"/>
            </w:pPr>
            <w:r w:rsidRPr="00E57598">
              <w:t>• Stroke: ~3%</w:t>
            </w:r>
          </w:p>
          <w:p w14:paraId="196C2E55" w14:textId="77777777" w:rsidR="00E57598" w:rsidRPr="00E57598" w:rsidRDefault="00E57598" w:rsidP="00E57598">
            <w:pPr>
              <w:spacing w:before="240" w:after="240"/>
            </w:pPr>
            <w:r w:rsidRPr="00E57598">
              <w:t>• AFib: ~2-3%</w:t>
            </w:r>
          </w:p>
        </w:tc>
        <w:tc>
          <w:tcPr>
            <w:tcW w:w="2268" w:type="dxa"/>
            <w:tcMar>
              <w:top w:w="100" w:type="dxa"/>
              <w:left w:w="100" w:type="dxa"/>
              <w:bottom w:w="100" w:type="dxa"/>
              <w:right w:w="100" w:type="dxa"/>
            </w:tcMar>
          </w:tcPr>
          <w:p w14:paraId="663A2155" w14:textId="77777777" w:rsidR="00E57598" w:rsidRPr="00E57598" w:rsidRDefault="00E57598" w:rsidP="00E57598">
            <w:pPr>
              <w:spacing w:before="240" w:after="240"/>
            </w:pPr>
            <w:r w:rsidRPr="00E57598">
              <w:t>• HTN highly prevalent but often asymptomatic</w:t>
            </w:r>
          </w:p>
          <w:p w14:paraId="5F1DAB65" w14:textId="77777777" w:rsidR="00E57598" w:rsidRPr="00E57598" w:rsidRDefault="00E57598" w:rsidP="00E57598">
            <w:pPr>
              <w:spacing w:before="240" w:after="240"/>
            </w:pPr>
            <w:r w:rsidRPr="00E57598">
              <w:t>• AFib class imbalance</w:t>
            </w:r>
          </w:p>
          <w:p w14:paraId="104522A7" w14:textId="77777777" w:rsidR="00E57598" w:rsidRPr="00E57598" w:rsidRDefault="00E57598" w:rsidP="00E57598">
            <w:pPr>
              <w:spacing w:before="240" w:after="240"/>
            </w:pPr>
            <w:r w:rsidRPr="00E57598">
              <w:t>• Event prediction vs. risk prediction distinction</w:t>
            </w:r>
          </w:p>
        </w:tc>
      </w:tr>
      <w:tr w:rsidR="00E57598" w14:paraId="7620B849" w14:textId="77777777">
        <w:trPr>
          <w:trHeight w:val="1946"/>
        </w:trPr>
        <w:tc>
          <w:tcPr>
            <w:tcW w:w="1838" w:type="dxa"/>
            <w:tcMar>
              <w:top w:w="100" w:type="dxa"/>
              <w:left w:w="100" w:type="dxa"/>
              <w:bottom w:w="100" w:type="dxa"/>
              <w:right w:w="100" w:type="dxa"/>
            </w:tcMar>
          </w:tcPr>
          <w:p w14:paraId="4003DE45" w14:textId="77777777" w:rsidR="00E57598" w:rsidRPr="00E57598" w:rsidRDefault="00E57598" w:rsidP="00E57598">
            <w:pPr>
              <w:spacing w:before="240" w:after="240"/>
            </w:pPr>
            <w:r w:rsidRPr="00E57598">
              <w:t>Metabolic</w:t>
            </w:r>
          </w:p>
        </w:tc>
        <w:tc>
          <w:tcPr>
            <w:tcW w:w="1843" w:type="dxa"/>
            <w:tcMar>
              <w:top w:w="100" w:type="dxa"/>
              <w:left w:w="100" w:type="dxa"/>
              <w:bottom w:w="100" w:type="dxa"/>
              <w:right w:w="100" w:type="dxa"/>
            </w:tcMar>
          </w:tcPr>
          <w:p w14:paraId="6F72C884" w14:textId="77777777" w:rsidR="00E57598" w:rsidRPr="00E57598" w:rsidRDefault="00E57598" w:rsidP="00E57598">
            <w:pPr>
              <w:spacing w:before="240" w:after="240"/>
            </w:pPr>
            <w:r w:rsidRPr="00E57598">
              <w:t>• Type 2 Diabetes (T2DM)</w:t>
            </w:r>
          </w:p>
          <w:p w14:paraId="21836CC9" w14:textId="77777777" w:rsidR="00E57598" w:rsidRPr="00E57598" w:rsidRDefault="00E57598" w:rsidP="00E57598">
            <w:pPr>
              <w:spacing w:before="240" w:after="240"/>
            </w:pPr>
            <w:r w:rsidRPr="00E57598">
              <w:t>• Chronic Kidney Disease (CKD)</w:t>
            </w:r>
          </w:p>
          <w:p w14:paraId="49F1262C" w14:textId="77777777" w:rsidR="00E57598" w:rsidRPr="00E57598" w:rsidRDefault="00E57598" w:rsidP="00E57598">
            <w:pPr>
              <w:spacing w:before="240" w:after="240"/>
            </w:pPr>
            <w:r w:rsidRPr="00E57598">
              <w:t>• Hyperlipidemia</w:t>
            </w:r>
          </w:p>
          <w:p w14:paraId="435246F1" w14:textId="77777777" w:rsidR="00E57598" w:rsidRPr="00E57598" w:rsidRDefault="00E57598" w:rsidP="00E57598">
            <w:pPr>
              <w:spacing w:before="240" w:after="240"/>
            </w:pPr>
            <w:r w:rsidRPr="00E57598">
              <w:t>• Obesity</w:t>
            </w:r>
          </w:p>
        </w:tc>
        <w:tc>
          <w:tcPr>
            <w:tcW w:w="1984" w:type="dxa"/>
            <w:tcMar>
              <w:top w:w="100" w:type="dxa"/>
              <w:left w:w="100" w:type="dxa"/>
              <w:bottom w:w="100" w:type="dxa"/>
              <w:right w:w="100" w:type="dxa"/>
            </w:tcMar>
          </w:tcPr>
          <w:p w14:paraId="4678670A" w14:textId="77777777" w:rsidR="00E57598" w:rsidRPr="00E57598" w:rsidRDefault="00E57598" w:rsidP="00E57598">
            <w:pPr>
              <w:spacing w:before="240" w:after="240"/>
            </w:pPr>
            <w:r w:rsidRPr="00E57598">
              <w:t>• Insulin resistance</w:t>
            </w:r>
          </w:p>
          <w:p w14:paraId="1415BC28" w14:textId="77777777" w:rsidR="00E57598" w:rsidRPr="00E57598" w:rsidRDefault="00E57598" w:rsidP="00E57598">
            <w:pPr>
              <w:spacing w:before="240" w:after="240"/>
            </w:pPr>
            <w:r w:rsidRPr="00E57598">
              <w:t>• Chronic inflammation</w:t>
            </w:r>
          </w:p>
          <w:p w14:paraId="20E015FC" w14:textId="77777777" w:rsidR="00E57598" w:rsidRPr="00E57598" w:rsidRDefault="00E57598" w:rsidP="00E57598">
            <w:pPr>
              <w:spacing w:before="240" w:after="240"/>
            </w:pPr>
            <w:r w:rsidRPr="00E57598">
              <w:t>• Oxidative stress</w:t>
            </w:r>
          </w:p>
          <w:p w14:paraId="4FB83B03" w14:textId="77777777" w:rsidR="00E57598" w:rsidRPr="00E57598" w:rsidRDefault="00E57598" w:rsidP="00E57598">
            <w:pPr>
              <w:spacing w:before="240" w:after="240"/>
            </w:pPr>
            <w:r w:rsidRPr="00E57598">
              <w:t>• Dyslipidemia</w:t>
            </w:r>
          </w:p>
        </w:tc>
        <w:tc>
          <w:tcPr>
            <w:tcW w:w="1843" w:type="dxa"/>
            <w:tcMar>
              <w:top w:w="100" w:type="dxa"/>
              <w:left w:w="100" w:type="dxa"/>
              <w:bottom w:w="100" w:type="dxa"/>
              <w:right w:w="100" w:type="dxa"/>
            </w:tcMar>
          </w:tcPr>
          <w:p w14:paraId="69BCD374" w14:textId="77777777" w:rsidR="00E57598" w:rsidRPr="00E57598" w:rsidRDefault="00E57598" w:rsidP="00E57598">
            <w:pPr>
              <w:spacing w:before="240" w:after="240"/>
            </w:pPr>
            <w:r w:rsidRPr="00E57598">
              <w:t>• Diabetes causes CKD and CVD</w:t>
            </w:r>
          </w:p>
          <w:p w14:paraId="0C090287" w14:textId="77777777" w:rsidR="00E57598" w:rsidRPr="00E57598" w:rsidRDefault="00E57598" w:rsidP="00E57598">
            <w:pPr>
              <w:spacing w:before="240" w:after="240"/>
            </w:pPr>
            <w:r w:rsidRPr="00E57598">
              <w:t>• Obesity drives metabolic syndrome</w:t>
            </w:r>
          </w:p>
          <w:p w14:paraId="50B2B269" w14:textId="77777777" w:rsidR="00E57598" w:rsidRPr="00E57598" w:rsidRDefault="00E57598" w:rsidP="00E57598">
            <w:pPr>
              <w:spacing w:before="240" w:after="240"/>
            </w:pPr>
            <w:r w:rsidRPr="00E57598">
              <w:t>• Dyslipidemia accelerates atherosclerosis</w:t>
            </w:r>
          </w:p>
        </w:tc>
        <w:tc>
          <w:tcPr>
            <w:tcW w:w="1418" w:type="dxa"/>
            <w:tcMar>
              <w:top w:w="100" w:type="dxa"/>
              <w:left w:w="100" w:type="dxa"/>
              <w:bottom w:w="100" w:type="dxa"/>
              <w:right w:w="100" w:type="dxa"/>
            </w:tcMar>
          </w:tcPr>
          <w:p w14:paraId="727336EA" w14:textId="77777777" w:rsidR="00E57598" w:rsidRPr="00E57598" w:rsidRDefault="00E57598" w:rsidP="00E57598">
            <w:pPr>
              <w:spacing w:before="240" w:after="240"/>
            </w:pPr>
            <w:r w:rsidRPr="00E57598">
              <w:t>• T2DM: ~10-12%</w:t>
            </w:r>
          </w:p>
          <w:p w14:paraId="490EA7DE" w14:textId="77777777" w:rsidR="00E57598" w:rsidRPr="00E57598" w:rsidRDefault="00E57598" w:rsidP="00E57598">
            <w:pPr>
              <w:spacing w:before="240" w:after="240"/>
            </w:pPr>
            <w:r w:rsidRPr="00E57598">
              <w:t>• CKD: ~14%</w:t>
            </w:r>
          </w:p>
          <w:p w14:paraId="524AC909" w14:textId="77777777" w:rsidR="00E57598" w:rsidRPr="00E57598" w:rsidRDefault="00E57598" w:rsidP="00E57598">
            <w:pPr>
              <w:spacing w:before="240" w:after="240"/>
            </w:pPr>
            <w:r w:rsidRPr="00E57598">
              <w:t>• Hyperlipidemia: ~40%</w:t>
            </w:r>
          </w:p>
          <w:p w14:paraId="1A0F52DC" w14:textId="77777777" w:rsidR="00E57598" w:rsidRPr="00E57598" w:rsidRDefault="00E57598" w:rsidP="00E57598">
            <w:pPr>
              <w:spacing w:before="240" w:after="240"/>
            </w:pPr>
            <w:r w:rsidRPr="00E57598">
              <w:t>• Obesity: ~40%</w:t>
            </w:r>
          </w:p>
        </w:tc>
        <w:tc>
          <w:tcPr>
            <w:tcW w:w="2268" w:type="dxa"/>
            <w:tcMar>
              <w:top w:w="100" w:type="dxa"/>
              <w:left w:w="100" w:type="dxa"/>
              <w:bottom w:w="100" w:type="dxa"/>
              <w:right w:w="100" w:type="dxa"/>
            </w:tcMar>
          </w:tcPr>
          <w:p w14:paraId="58EA8DAC" w14:textId="77777777" w:rsidR="00E57598" w:rsidRPr="00E57598" w:rsidRDefault="00E57598" w:rsidP="00E57598">
            <w:pPr>
              <w:spacing w:before="240" w:after="240"/>
            </w:pPr>
            <w:r w:rsidRPr="00E57598">
              <w:t>• Obesity prediction without BMI creates circularity</w:t>
            </w:r>
          </w:p>
          <w:p w14:paraId="3949F1D3" w14:textId="77777777" w:rsidR="00E57598" w:rsidRPr="00E57598" w:rsidRDefault="00E57598" w:rsidP="00E57598">
            <w:pPr>
              <w:spacing w:before="240" w:after="240"/>
            </w:pPr>
            <w:r w:rsidRPr="00E57598">
              <w:t>• CKD often asymptomatic until advanced</w:t>
            </w:r>
          </w:p>
          <w:p w14:paraId="64CF0C88" w14:textId="77777777" w:rsidR="00E57598" w:rsidRPr="00E57598" w:rsidRDefault="00E57598" w:rsidP="00E57598">
            <w:pPr>
              <w:spacing w:before="240" w:after="240"/>
            </w:pPr>
            <w:r w:rsidRPr="00E57598">
              <w:t>• Strong feature correlations risk leakage</w:t>
            </w:r>
          </w:p>
        </w:tc>
      </w:tr>
    </w:tbl>
    <w:p w14:paraId="77845C47" w14:textId="77777777" w:rsidR="00973DE5" w:rsidRDefault="00973DE5" w:rsidP="00973DE5">
      <w:pPr>
        <w:tabs>
          <w:tab w:val="left" w:pos="463"/>
        </w:tabs>
        <w:ind w:left="284" w:hanging="142"/>
        <w:jc w:val="both"/>
        <w:sectPr w:rsidR="00973DE5" w:rsidSect="00973DE5">
          <w:type w:val="continuous"/>
          <w:pgSz w:w="11910" w:h="16840"/>
          <w:pgMar w:top="1060" w:right="708" w:bottom="1340" w:left="708" w:header="763" w:footer="1143" w:gutter="0"/>
          <w:cols w:space="720"/>
        </w:sectPr>
      </w:pPr>
    </w:p>
    <w:p w14:paraId="048A9A7C" w14:textId="77777777" w:rsidR="00973DE5" w:rsidRDefault="00973DE5" w:rsidP="00973DE5">
      <w:pPr>
        <w:tabs>
          <w:tab w:val="left" w:pos="463"/>
        </w:tabs>
        <w:ind w:left="284" w:hanging="142"/>
        <w:jc w:val="both"/>
      </w:pPr>
      <w:r>
        <w:t xml:space="preserve">intake, obesity, physical inactivity, diabetes, metabolic syndrome, hypothyroidism, and certain </w:t>
      </w:r>
      <w:r>
        <w:lastRenderedPageBreak/>
        <w:t>medications. The model identifies individuals likely to develop dyslipidemia who would benefit from dietary counseling, exercise promotion, and potentially pharmacological intervention with statins or other lipid-modifying agents.</w:t>
      </w:r>
    </w:p>
    <w:p w14:paraId="5455490F" w14:textId="77777777" w:rsidR="00973DE5" w:rsidRDefault="00973DE5" w:rsidP="00973DE5">
      <w:pPr>
        <w:tabs>
          <w:tab w:val="left" w:pos="463"/>
        </w:tabs>
        <w:ind w:left="284" w:hanging="142"/>
        <w:jc w:val="both"/>
      </w:pPr>
      <w:r>
        <w:t>Obesity, defined as excessive body fat accumulation typically assessed through body mass index exceeding 30 kg/m², represents a fundamental metabolic disorder that substantially increases risk for virtually all other conditions in the model. Obesity promotes insulin resistance, dyslipidemia, hypertension, chronic inflammation, and mechanical stress on joints. Predictive features face unique challenges since BMI itself cannot be used for obesity prediction without creating circular reasoning. The model instead leverages BMI-independent predictive factors including dietary patterns, physical activity levels, sedentary behavior, sleep duration and quality, socioeconomic factors, psychological stress, family history, and early-life factors. This approach enables identification of individuals at risk for developing obesity based on modifiable behavioral and environmental factors rather than simply recognizing existing obesity through anthropometric measurements.</w:t>
      </w:r>
    </w:p>
    <w:p w14:paraId="66E09F43" w14:textId="77777777" w:rsidR="00973DE5" w:rsidRDefault="00973DE5" w:rsidP="00973DE5">
      <w:pPr>
        <w:tabs>
          <w:tab w:val="left" w:pos="463"/>
        </w:tabs>
        <w:ind w:left="284" w:hanging="142"/>
        <w:jc w:val="both"/>
      </w:pPr>
    </w:p>
    <w:p w14:paraId="077D5FFE" w14:textId="6F966BFB" w:rsidR="00E57598" w:rsidRDefault="00973DE5" w:rsidP="00973DE5">
      <w:pPr>
        <w:pStyle w:val="BodyText"/>
        <w:numPr>
          <w:ilvl w:val="1"/>
          <w:numId w:val="8"/>
        </w:numPr>
        <w:spacing w:line="276" w:lineRule="auto"/>
        <w:jc w:val="both"/>
      </w:pPr>
      <w:r w:rsidRPr="00973DE5">
        <w:t>Basic Mechanisms and Machine Learning Pipeline Components</w:t>
      </w:r>
    </w:p>
    <w:p w14:paraId="4B906CC1" w14:textId="77777777" w:rsidR="00973DE5" w:rsidRDefault="00973DE5" w:rsidP="00973DE5">
      <w:pPr>
        <w:pStyle w:val="BodyText"/>
        <w:spacing w:line="276" w:lineRule="auto"/>
        <w:ind w:left="142"/>
        <w:jc w:val="both"/>
      </w:pPr>
    </w:p>
    <w:p w14:paraId="0342FFD1" w14:textId="55F81333" w:rsidR="00973DE5" w:rsidRPr="00B527C6" w:rsidRDefault="00973DE5" w:rsidP="00B527C6">
      <w:pPr>
        <w:pStyle w:val="BodyText"/>
        <w:spacing w:line="276" w:lineRule="auto"/>
        <w:jc w:val="both"/>
        <w:rPr>
          <w:b/>
          <w:bCs/>
        </w:rPr>
      </w:pPr>
      <w:r w:rsidRPr="00B527C6">
        <w:rPr>
          <w:b/>
          <w:bCs/>
        </w:rPr>
        <w:t>Data Management and Preparation</w:t>
      </w:r>
    </w:p>
    <w:p w14:paraId="67496050" w14:textId="77777777" w:rsidR="00B527C6" w:rsidRDefault="00B527C6" w:rsidP="00B527C6">
      <w:pPr>
        <w:pStyle w:val="BodyText"/>
        <w:spacing w:line="276" w:lineRule="auto"/>
        <w:jc w:val="both"/>
      </w:pPr>
    </w:p>
    <w:p w14:paraId="76BF2A18" w14:textId="77777777" w:rsidR="00973DE5" w:rsidRDefault="00973DE5" w:rsidP="00973DE5">
      <w:pPr>
        <w:pStyle w:val="BodyText"/>
        <w:spacing w:line="276" w:lineRule="auto"/>
        <w:jc w:val="both"/>
      </w:pPr>
      <w:r>
        <w:t>The foundation of any robust machine learning system begins with comprehensive data management and preparation procedures that transform raw survey data into analysis-ready formats suitable for model training. This initial phase encompasses multiple critical operations including data acquisition, quality assessment, cleaning, integration, and standardization that collectively ensure the integrity and usability of the dataset.</w:t>
      </w:r>
    </w:p>
    <w:p w14:paraId="7DBA1C65" w14:textId="77777777" w:rsidR="009C522C" w:rsidRDefault="009C522C" w:rsidP="00973DE5">
      <w:pPr>
        <w:pStyle w:val="BodyText"/>
        <w:spacing w:line="276" w:lineRule="auto"/>
        <w:jc w:val="both"/>
      </w:pPr>
    </w:p>
    <w:p w14:paraId="1EBED0A9" w14:textId="77777777" w:rsidR="00973DE5" w:rsidRDefault="00973DE5" w:rsidP="00973DE5">
      <w:pPr>
        <w:pStyle w:val="BodyText"/>
        <w:spacing w:line="276" w:lineRule="auto"/>
        <w:jc w:val="both"/>
        <w:rPr>
          <w:b/>
          <w:bCs/>
        </w:rPr>
      </w:pPr>
      <w:r w:rsidRPr="009C522C">
        <w:rPr>
          <w:b/>
          <w:bCs/>
        </w:rPr>
        <w:t>Data Acquisition and Initial Assessment</w:t>
      </w:r>
    </w:p>
    <w:p w14:paraId="61F9DEB5" w14:textId="77777777" w:rsidR="009C522C" w:rsidRPr="009C522C" w:rsidRDefault="009C522C" w:rsidP="00973DE5">
      <w:pPr>
        <w:pStyle w:val="BodyText"/>
        <w:spacing w:line="276" w:lineRule="auto"/>
        <w:jc w:val="both"/>
        <w:rPr>
          <w:b/>
          <w:bCs/>
        </w:rPr>
      </w:pPr>
    </w:p>
    <w:p w14:paraId="19579347" w14:textId="77777777" w:rsidR="00973DE5" w:rsidRDefault="00973DE5" w:rsidP="00973DE5">
      <w:pPr>
        <w:pStyle w:val="BodyText"/>
        <w:spacing w:line="276" w:lineRule="auto"/>
        <w:jc w:val="both"/>
      </w:pPr>
      <w:r>
        <w:t xml:space="preserve">The primary data source for this multi-disease prediction framework is the Behavioral Risk Factor </w:t>
      </w:r>
      <w:r>
        <w:t>Surveillance System (BRFSS) 2023 dataset, obtained from the Centers for Disease Control and Prevention (CDC) data repository. The raw dataset arrives in ASCII format (LLCP2023.ASC) containing responses from over 400,000 survey participants across all U.S. states and territories. Initial assessment procedures examine dataset structure, variable distributions, missingness patterns, and data quality indicators to identify potential issues requiring attention during preprocessing. This assessment phase reveals the typical challenges inherent in large-scale survey data: substantial missing values across numerous variables, inconsistent response coding schemes, outliers and implausible values requiring validation, skip patterns creating systematic missingness, and complex weighting schemes necessary for population-level inference.</w:t>
      </w:r>
    </w:p>
    <w:p w14:paraId="24D7A693" w14:textId="77777777" w:rsidR="009C522C" w:rsidRDefault="009C522C" w:rsidP="00973DE5">
      <w:pPr>
        <w:pStyle w:val="BodyText"/>
        <w:spacing w:line="276" w:lineRule="auto"/>
        <w:jc w:val="both"/>
      </w:pPr>
    </w:p>
    <w:p w14:paraId="4FB9C0E4" w14:textId="77777777" w:rsidR="00973DE5" w:rsidRDefault="00973DE5" w:rsidP="00973DE5">
      <w:pPr>
        <w:pStyle w:val="BodyText"/>
        <w:spacing w:line="276" w:lineRule="auto"/>
        <w:jc w:val="both"/>
        <w:rPr>
          <w:b/>
          <w:bCs/>
        </w:rPr>
      </w:pPr>
      <w:r w:rsidRPr="009C522C">
        <w:rPr>
          <w:b/>
          <w:bCs/>
        </w:rPr>
        <w:t>Data Cleaning and Quality Control</w:t>
      </w:r>
    </w:p>
    <w:p w14:paraId="74128994" w14:textId="77777777" w:rsidR="009C522C" w:rsidRPr="009C522C" w:rsidRDefault="009C522C" w:rsidP="00973DE5">
      <w:pPr>
        <w:pStyle w:val="BodyText"/>
        <w:spacing w:line="276" w:lineRule="auto"/>
        <w:jc w:val="both"/>
        <w:rPr>
          <w:b/>
          <w:bCs/>
        </w:rPr>
      </w:pPr>
    </w:p>
    <w:p w14:paraId="2429CA37" w14:textId="77777777" w:rsidR="00973DE5" w:rsidRDefault="00973DE5" w:rsidP="00973DE5">
      <w:pPr>
        <w:pStyle w:val="BodyText"/>
        <w:spacing w:line="276" w:lineRule="auto"/>
        <w:jc w:val="both"/>
      </w:pPr>
      <w:r>
        <w:t xml:space="preserve">Systematic data cleaning procedures address identified quality issues through multiple complementary approaches. Missing value handling employs K-Nearest Neighbors (KNN) imputation techniques that leverage similarity between respondents to estimate plausible values for missing entries, preserving dataset size while maintaining distributional properties. This approach proves superior to simple mean imputation or listwise deletion for healthcare data where missingness often follows informative patterns. Duplicate detection algorithms identify and remove redundant records based on matching patterns across multiple demographic and response variables, ensuring each participant contributes only once to model training. Outlier detection examines continuous variables for physiologically implausible values or extreme responses likely reflecting data entry errors, with flagged cases either corrected when true values can be determined or excluded when verification is impossible. Consistency validation checks logical relationships between related variables, such as ensuring reported pregnancy aligns with biological </w:t>
      </w:r>
      <w:r>
        <w:lastRenderedPageBreak/>
        <w:t xml:space="preserve">sex and age </w:t>
      </w:r>
      <w:proofErr w:type="gramStart"/>
      <w:r>
        <w:t>ranges, or</w:t>
      </w:r>
      <w:proofErr w:type="gramEnd"/>
      <w:r>
        <w:t xml:space="preserve"> verifying temporal sequences when longitudinal elements exist.</w:t>
      </w:r>
    </w:p>
    <w:p w14:paraId="723F5C38" w14:textId="77777777" w:rsidR="00973DE5" w:rsidRDefault="00973DE5" w:rsidP="00973DE5">
      <w:pPr>
        <w:pStyle w:val="BodyText"/>
        <w:spacing w:line="276" w:lineRule="auto"/>
        <w:jc w:val="both"/>
        <w:rPr>
          <w:b/>
          <w:bCs/>
        </w:rPr>
      </w:pPr>
      <w:r w:rsidRPr="009C522C">
        <w:rPr>
          <w:b/>
          <w:bCs/>
        </w:rPr>
        <w:t>Data Integration and Fusion</w:t>
      </w:r>
    </w:p>
    <w:p w14:paraId="5B42A4ED" w14:textId="77777777" w:rsidR="009C522C" w:rsidRPr="009C522C" w:rsidRDefault="009C522C" w:rsidP="00973DE5">
      <w:pPr>
        <w:pStyle w:val="BodyText"/>
        <w:spacing w:line="276" w:lineRule="auto"/>
        <w:jc w:val="both"/>
        <w:rPr>
          <w:b/>
          <w:bCs/>
        </w:rPr>
      </w:pPr>
    </w:p>
    <w:p w14:paraId="03C1D20C" w14:textId="77777777" w:rsidR="00973DE5" w:rsidRDefault="00973DE5" w:rsidP="00973DE5">
      <w:pPr>
        <w:pStyle w:val="BodyText"/>
        <w:spacing w:line="276" w:lineRule="auto"/>
        <w:jc w:val="both"/>
      </w:pPr>
      <w:r>
        <w:t>Enhanced data fusion procedures integrate information from multiple sources within the BRFSS ecosystem to create enriched patient profiles. The fusion process combines core survey responses containing demographic information, health status indicators, and behavioral risk factors with supplementary modules addressing specific health domains such as cardiovascular health, diabetes management, and cognitive function. This integration creates a comprehensive 56MB fusion dataset (FINAL_FUSION_DATASET.csv) that captures multidimensional health profiles extending beyond what individual data components could provide. Fusion algorithms carefully handle variable name conflicts, reconcile differing coding schemes across modules, align temporal references when mixing cross-sectional and longitudinal elements, and preserve data provenance to enable tracing of specific values back to source instruments.</w:t>
      </w:r>
    </w:p>
    <w:p w14:paraId="208B94C2" w14:textId="77777777" w:rsidR="009C522C" w:rsidRDefault="009C522C" w:rsidP="00973DE5">
      <w:pPr>
        <w:pStyle w:val="BodyText"/>
        <w:spacing w:line="276" w:lineRule="auto"/>
        <w:jc w:val="both"/>
      </w:pPr>
    </w:p>
    <w:p w14:paraId="3DA3DA05" w14:textId="77777777" w:rsidR="00973DE5" w:rsidRDefault="00973DE5" w:rsidP="00973DE5">
      <w:pPr>
        <w:pStyle w:val="BodyText"/>
        <w:spacing w:line="276" w:lineRule="auto"/>
        <w:jc w:val="both"/>
        <w:rPr>
          <w:b/>
          <w:bCs/>
        </w:rPr>
      </w:pPr>
      <w:r w:rsidRPr="009C522C">
        <w:rPr>
          <w:b/>
          <w:bCs/>
        </w:rPr>
        <w:t>Standardization and Encoding</w:t>
      </w:r>
    </w:p>
    <w:p w14:paraId="087280DC" w14:textId="77777777" w:rsidR="009C522C" w:rsidRPr="009C522C" w:rsidRDefault="009C522C" w:rsidP="00973DE5">
      <w:pPr>
        <w:pStyle w:val="BodyText"/>
        <w:spacing w:line="276" w:lineRule="auto"/>
        <w:jc w:val="both"/>
        <w:rPr>
          <w:b/>
          <w:bCs/>
        </w:rPr>
      </w:pPr>
    </w:p>
    <w:p w14:paraId="25B3C10C" w14:textId="51EFCC7B" w:rsidR="00973DE5" w:rsidRDefault="00973DE5" w:rsidP="00973DE5">
      <w:pPr>
        <w:pStyle w:val="BodyText"/>
        <w:spacing w:line="276" w:lineRule="auto"/>
        <w:jc w:val="both"/>
      </w:pPr>
      <w:r>
        <w:t xml:space="preserve">Preparation procedures transform heterogeneous raw survey responses into standardized formats suitable for machine learning algorithms. Categorical variable encoding converts nominal categories like state of residence, education level, or race/ethnicity into numerical representations through one-hot encoding or ordinal encoding depending on variable characteristics. Continuous variable standardization applies transformations to ensure comparable scales across different measurement units, with particular attention to skewed distributions that may benefit from logarithmic or square root transformations. Date and temporal variable processing </w:t>
      </w:r>
      <w:proofErr w:type="gramStart"/>
      <w:r>
        <w:t>converts</w:t>
      </w:r>
      <w:proofErr w:type="gramEnd"/>
      <w:r>
        <w:t xml:space="preserve"> various date formats into consistent representations and derives additional temporal features such as time since last healthcare visit or duration of disease exposure. Response harmonization aligns different </w:t>
      </w:r>
      <w:r>
        <w:t>question versions administered across survey years or states to create consistent variable definitions enabling longitudinal or geographic comparisons.</w:t>
      </w:r>
    </w:p>
    <w:p w14:paraId="542745AC" w14:textId="77777777" w:rsidR="00973DE5" w:rsidRDefault="00973DE5" w:rsidP="00973DE5">
      <w:pPr>
        <w:pStyle w:val="BodyText"/>
        <w:spacing w:line="276" w:lineRule="auto"/>
        <w:jc w:val="both"/>
      </w:pPr>
    </w:p>
    <w:p w14:paraId="40BE6248" w14:textId="43659B3C" w:rsidR="009C522C" w:rsidRPr="00B527C6" w:rsidRDefault="009C522C" w:rsidP="00B527C6">
      <w:pPr>
        <w:pStyle w:val="BodyText"/>
        <w:spacing w:line="276" w:lineRule="auto"/>
        <w:jc w:val="both"/>
        <w:rPr>
          <w:b/>
          <w:bCs/>
        </w:rPr>
      </w:pPr>
      <w:r w:rsidRPr="00B527C6">
        <w:rPr>
          <w:b/>
          <w:bCs/>
        </w:rPr>
        <w:t>Feature Engineering</w:t>
      </w:r>
    </w:p>
    <w:p w14:paraId="28D98F2C" w14:textId="77777777" w:rsidR="009C522C" w:rsidRDefault="009C522C" w:rsidP="009C522C">
      <w:pPr>
        <w:pStyle w:val="BodyText"/>
        <w:spacing w:line="276" w:lineRule="auto"/>
        <w:jc w:val="both"/>
      </w:pPr>
    </w:p>
    <w:p w14:paraId="6F7FF285" w14:textId="77777777" w:rsidR="009C522C" w:rsidRDefault="009C522C" w:rsidP="009C522C">
      <w:pPr>
        <w:pStyle w:val="BodyText"/>
        <w:spacing w:line="276" w:lineRule="auto"/>
        <w:jc w:val="both"/>
      </w:pPr>
      <w:r>
        <w:t>Feature engineering represents perhaps the most critical phase in developing effective healthcare prediction models, as the quality and clinical relevance of input features directly determines the ceiling of model performance regardless of algorithmic sophistication. This phase transforms standardized but relatively raw survey responses into carefully constructed predictive variables that encode clinical domain knowledge and capture complex patterns relevant to chronic disease development.</w:t>
      </w:r>
    </w:p>
    <w:p w14:paraId="3105E246" w14:textId="77777777" w:rsidR="009C522C" w:rsidRDefault="009C522C" w:rsidP="009C522C">
      <w:pPr>
        <w:pStyle w:val="BodyText"/>
        <w:spacing w:line="276" w:lineRule="auto"/>
        <w:jc w:val="both"/>
      </w:pPr>
    </w:p>
    <w:p w14:paraId="1A87BB60" w14:textId="77777777" w:rsidR="009C522C" w:rsidRDefault="009C522C" w:rsidP="009C522C">
      <w:pPr>
        <w:pStyle w:val="BodyText"/>
        <w:spacing w:line="276" w:lineRule="auto"/>
        <w:jc w:val="both"/>
        <w:rPr>
          <w:b/>
          <w:bCs/>
        </w:rPr>
      </w:pPr>
      <w:r w:rsidRPr="009C522C">
        <w:rPr>
          <w:b/>
          <w:bCs/>
        </w:rPr>
        <w:t>Clinical Biomarker Aggregations</w:t>
      </w:r>
    </w:p>
    <w:p w14:paraId="6D69EA67" w14:textId="77777777" w:rsidR="009C522C" w:rsidRPr="009C522C" w:rsidRDefault="009C522C" w:rsidP="009C522C">
      <w:pPr>
        <w:pStyle w:val="BodyText"/>
        <w:spacing w:line="276" w:lineRule="auto"/>
        <w:jc w:val="both"/>
        <w:rPr>
          <w:b/>
          <w:bCs/>
        </w:rPr>
      </w:pPr>
    </w:p>
    <w:p w14:paraId="642C0A72" w14:textId="77777777" w:rsidR="009C522C" w:rsidRDefault="009C522C" w:rsidP="009C522C">
      <w:pPr>
        <w:pStyle w:val="BodyText"/>
        <w:spacing w:line="276" w:lineRule="auto"/>
        <w:jc w:val="both"/>
      </w:pPr>
      <w:r>
        <w:t xml:space="preserve">The engineering process creates aggregated biomarker features that summarize key physiological measurements relevant to multiple disease outcomes. Average glycemic control indicators (AVG_A1C, AVG_GLUCOSE) capture central tendency of blood sugar management, critical for predicting diabetes complications, cardiovascular events, and kidney disease progression. Lipid profile aggregations (AVG_HDL, AVG_LDL, AVG_TRIGLYCERIDES) summarize cholesterol patterns that drive atherosclerotic cardiovascular disease across multiple manifestations. Kidney function indicators (AVG_ALB_CR_RATIO) quantify early markers of renal damage before symptomatic disease emerges. These aggregations provide more stable and robust predictive signals compared to single measurements that may reflect transient fluctuations or measurement </w:t>
      </w:r>
      <w:proofErr w:type="gramStart"/>
      <w:r>
        <w:t>error</w:t>
      </w:r>
      <w:proofErr w:type="gramEnd"/>
      <w:r>
        <w:t>.</w:t>
      </w:r>
    </w:p>
    <w:p w14:paraId="138A155D" w14:textId="77777777" w:rsidR="00B527C6" w:rsidRDefault="00B527C6" w:rsidP="009C522C">
      <w:pPr>
        <w:pStyle w:val="BodyText"/>
        <w:spacing w:line="276" w:lineRule="auto"/>
        <w:jc w:val="both"/>
      </w:pPr>
    </w:p>
    <w:p w14:paraId="08999694" w14:textId="77777777" w:rsidR="009C522C" w:rsidRDefault="009C522C" w:rsidP="009C522C">
      <w:pPr>
        <w:pStyle w:val="BodyText"/>
        <w:spacing w:line="276" w:lineRule="auto"/>
        <w:jc w:val="both"/>
        <w:rPr>
          <w:b/>
          <w:bCs/>
        </w:rPr>
      </w:pPr>
      <w:r w:rsidRPr="009C522C">
        <w:rPr>
          <w:b/>
          <w:bCs/>
        </w:rPr>
        <w:t>Temporal Trend Features</w:t>
      </w:r>
    </w:p>
    <w:p w14:paraId="344D36D3" w14:textId="77777777" w:rsidR="009C522C" w:rsidRPr="009C522C" w:rsidRDefault="009C522C" w:rsidP="009C522C">
      <w:pPr>
        <w:pStyle w:val="BodyText"/>
        <w:spacing w:line="276" w:lineRule="auto"/>
        <w:jc w:val="both"/>
        <w:rPr>
          <w:b/>
          <w:bCs/>
        </w:rPr>
      </w:pPr>
    </w:p>
    <w:p w14:paraId="0732531B" w14:textId="77777777" w:rsidR="009C522C" w:rsidRDefault="009C522C" w:rsidP="009C522C">
      <w:pPr>
        <w:pStyle w:val="BodyText"/>
        <w:spacing w:line="276" w:lineRule="auto"/>
        <w:jc w:val="both"/>
      </w:pPr>
      <w:r>
        <w:t xml:space="preserve">Recognizing that disease risk depends not only on </w:t>
      </w:r>
      <w:proofErr w:type="gramStart"/>
      <w:r>
        <w:t>current status</w:t>
      </w:r>
      <w:proofErr w:type="gramEnd"/>
      <w:r>
        <w:t xml:space="preserve"> but also on trajectories of change, the </w:t>
      </w:r>
      <w:r>
        <w:lastRenderedPageBreak/>
        <w:t>engineering process derives temporal trend features capturing progression dynamics. A1C_TREND quantifies whether glycemic control is improving, stable, or deteriorating, with worsening trends indicating higher diabetes complication risk regardless of current absolute values. BMI_TREND tracks weight trajectory, distinguishing stable obesity from progressive weight gain that signals metabolic dysregulation and increased cardiovascular risk. MMSE_DECLINE measures cognitive function changes, with accelerating decline indicating higher dementia risk than stable low scores. MENTAL_HEALTH_TREND captures psychological well-being trajectories, with worsening patterns predicting depression onset or exacerbation. These temporal features enable the model to identify individuals concerning health trajectories who may benefit from early intervention despite not yet meeting diagnostic thresholds.</w:t>
      </w:r>
    </w:p>
    <w:p w14:paraId="1176FF42" w14:textId="77777777" w:rsidR="009C522C" w:rsidRDefault="009C522C" w:rsidP="009C522C">
      <w:pPr>
        <w:pStyle w:val="BodyText"/>
        <w:spacing w:line="276" w:lineRule="auto"/>
        <w:jc w:val="both"/>
      </w:pPr>
    </w:p>
    <w:p w14:paraId="30AAF426" w14:textId="77777777" w:rsidR="009C522C" w:rsidRDefault="009C522C" w:rsidP="009C522C">
      <w:pPr>
        <w:pStyle w:val="BodyText"/>
        <w:spacing w:line="276" w:lineRule="auto"/>
        <w:jc w:val="both"/>
        <w:rPr>
          <w:b/>
          <w:bCs/>
        </w:rPr>
      </w:pPr>
      <w:r w:rsidRPr="009C522C">
        <w:rPr>
          <w:b/>
          <w:bCs/>
        </w:rPr>
        <w:t>Interaction and Synergy Features</w:t>
      </w:r>
    </w:p>
    <w:p w14:paraId="3E9F704E" w14:textId="77777777" w:rsidR="009C522C" w:rsidRPr="009C522C" w:rsidRDefault="009C522C" w:rsidP="009C522C">
      <w:pPr>
        <w:pStyle w:val="BodyText"/>
        <w:spacing w:line="276" w:lineRule="auto"/>
        <w:jc w:val="both"/>
        <w:rPr>
          <w:b/>
          <w:bCs/>
        </w:rPr>
      </w:pPr>
    </w:p>
    <w:p w14:paraId="29651845" w14:textId="77777777" w:rsidR="009C522C" w:rsidRDefault="009C522C" w:rsidP="009C522C">
      <w:pPr>
        <w:pStyle w:val="BodyText"/>
        <w:spacing w:line="276" w:lineRule="auto"/>
        <w:jc w:val="both"/>
      </w:pPr>
      <w:r>
        <w:t xml:space="preserve">Biological systems exhibit complex interactions where the combined effect of multiple risk factors exceeds simple additive predictions. Engineered interaction features capture these synergistic relationships. AGE_A1C_INTERACTION models how cardiovascular risk associated with poor glycemic control increases exponentially with age, as older individuals have less physiological reserve to compensate for metabolic stress. AGE_HTN_RISK captures age-dependent hypertension effects on stroke and heart failure risk. BMI_A1C_INTERACTION represents metabolic syndrome patterns where the combination of obesity and hyperglycemia creates particularly elevated cardiovascular and kidney disease risk. BMI_LIPID_INTERACTION quantifies how dyslipidemia effects amplify in the context of obesity. COGNITIVE_AGE_RISK models the interaction between baseline cognitive function and age in predicting dementia, recognizing that mild impairment carries different prognostic implications </w:t>
      </w:r>
      <w:r>
        <w:t>at different life stages.</w:t>
      </w:r>
    </w:p>
    <w:p w14:paraId="20FAC875" w14:textId="77777777" w:rsidR="009C522C" w:rsidRDefault="009C522C" w:rsidP="009C522C">
      <w:pPr>
        <w:pStyle w:val="BodyText"/>
        <w:spacing w:line="276" w:lineRule="auto"/>
        <w:jc w:val="both"/>
      </w:pPr>
    </w:p>
    <w:p w14:paraId="2660C6F7" w14:textId="77777777" w:rsidR="009C522C" w:rsidRDefault="009C522C" w:rsidP="009C522C">
      <w:pPr>
        <w:pStyle w:val="BodyText"/>
        <w:spacing w:line="276" w:lineRule="auto"/>
        <w:jc w:val="both"/>
        <w:rPr>
          <w:b/>
          <w:bCs/>
        </w:rPr>
      </w:pPr>
      <w:r w:rsidRPr="009C522C">
        <w:rPr>
          <w:b/>
          <w:bCs/>
        </w:rPr>
        <w:t>Composite Risk Indices</w:t>
      </w:r>
    </w:p>
    <w:p w14:paraId="4B36BB6E" w14:textId="77777777" w:rsidR="009C522C" w:rsidRPr="009C522C" w:rsidRDefault="009C522C" w:rsidP="009C522C">
      <w:pPr>
        <w:pStyle w:val="BodyText"/>
        <w:spacing w:line="276" w:lineRule="auto"/>
        <w:jc w:val="both"/>
        <w:rPr>
          <w:b/>
          <w:bCs/>
        </w:rPr>
      </w:pPr>
    </w:p>
    <w:p w14:paraId="69BDB889" w14:textId="77777777" w:rsidR="009C522C" w:rsidRDefault="009C522C" w:rsidP="009C522C">
      <w:pPr>
        <w:pStyle w:val="BodyText"/>
        <w:spacing w:line="276" w:lineRule="auto"/>
        <w:jc w:val="both"/>
      </w:pPr>
      <w:r>
        <w:t>Holistic health status indicators provide summary measures capturing overall patient vulnerability beyond individual risk factors. COMORBIDITY_SCORE quantifies cumulative disease burden by counting existing chronic conditions, with higher scores indicating systemic health deterioration and elevated risk for additional diseases. FRAILTY_INDEX synthesizes multiple indicators of physiological reserve including mobility limitations, sensory impairments, cognitive function, nutritional status, and social support to quantify overall vulnerability to adverse health outcomes. Risk stratification categories (HEALTH_RISK_GROUP, AGE_RISK_GROUP, BMI_RISK_GROUP) partition continuous risk scales into clinically meaningful categorical groups enabling threshold-based decision rules such as targeting intensive interventions to high-risk groups while applying less resource-intensive approaches to moderate-risk populations.</w:t>
      </w:r>
    </w:p>
    <w:p w14:paraId="37F71DE5" w14:textId="77777777" w:rsidR="009C522C" w:rsidRDefault="009C522C" w:rsidP="009C522C">
      <w:pPr>
        <w:pStyle w:val="BodyText"/>
        <w:spacing w:line="276" w:lineRule="auto"/>
        <w:jc w:val="both"/>
      </w:pPr>
    </w:p>
    <w:p w14:paraId="2E5D5290" w14:textId="77777777" w:rsidR="009C522C" w:rsidRDefault="009C522C" w:rsidP="009C522C">
      <w:pPr>
        <w:pStyle w:val="BodyText"/>
        <w:spacing w:line="276" w:lineRule="auto"/>
        <w:jc w:val="both"/>
        <w:rPr>
          <w:b/>
          <w:bCs/>
        </w:rPr>
      </w:pPr>
      <w:r w:rsidRPr="009C522C">
        <w:rPr>
          <w:b/>
          <w:bCs/>
        </w:rPr>
        <w:t>Domain-Specific Feature Sets</w:t>
      </w:r>
    </w:p>
    <w:p w14:paraId="4C8186BC" w14:textId="77777777" w:rsidR="009C522C" w:rsidRPr="009C522C" w:rsidRDefault="009C522C" w:rsidP="009C522C">
      <w:pPr>
        <w:pStyle w:val="BodyText"/>
        <w:spacing w:line="276" w:lineRule="auto"/>
        <w:jc w:val="both"/>
        <w:rPr>
          <w:b/>
          <w:bCs/>
        </w:rPr>
      </w:pPr>
    </w:p>
    <w:p w14:paraId="7454F95A" w14:textId="4D351C47" w:rsidR="009C522C" w:rsidRDefault="009C522C" w:rsidP="009C522C">
      <w:pPr>
        <w:pStyle w:val="BodyText"/>
        <w:spacing w:line="276" w:lineRule="auto"/>
        <w:jc w:val="both"/>
      </w:pPr>
      <w:r>
        <w:t xml:space="preserve">Recognizing that different diseases respond to different patterns of risk factors, the engineering process creates domain-specific feature sets emphasizing factors particularly relevant to each physiological domain. Neuro-cognitive features emphasize cognitive assessment scores, mental health indicators, vascular risk factors affecting cerebral perfusion, and social engagement measures. Cardiovascular features prioritize blood pressure measurements, lipid profiles, inflammatory markers, and lifestyle factors like smoking and physical activity. Metabolic features focus on anthropometric measurements, glucose metabolism markers, dietary patterns, and endocrine function indicators. This domain-targeted approach ensures each disease model receives optimally informative </w:t>
      </w:r>
      <w:proofErr w:type="gramStart"/>
      <w:r>
        <w:t>inputs</w:t>
      </w:r>
      <w:proofErr w:type="gramEnd"/>
      <w:r>
        <w:t xml:space="preserve"> while </w:t>
      </w:r>
      <w:r>
        <w:lastRenderedPageBreak/>
        <w:t>maintaining a shared overall feature space enabling cross-disease learning.</w:t>
      </w:r>
    </w:p>
    <w:p w14:paraId="7ED39627" w14:textId="77777777" w:rsidR="009C522C" w:rsidRDefault="009C522C" w:rsidP="009C522C">
      <w:pPr>
        <w:pStyle w:val="BodyText"/>
        <w:spacing w:line="276" w:lineRule="auto"/>
        <w:jc w:val="both"/>
      </w:pPr>
    </w:p>
    <w:p w14:paraId="726C1A77" w14:textId="292FE4C4" w:rsidR="009C522C" w:rsidRDefault="009C522C" w:rsidP="009C522C">
      <w:pPr>
        <w:pStyle w:val="BodyText"/>
        <w:numPr>
          <w:ilvl w:val="1"/>
          <w:numId w:val="21"/>
        </w:numPr>
        <w:spacing w:line="276" w:lineRule="auto"/>
        <w:ind w:left="284"/>
        <w:jc w:val="both"/>
      </w:pPr>
      <w:r w:rsidRPr="009C522C">
        <w:t>Data Integrity and Leakage Mitigation</w:t>
      </w:r>
    </w:p>
    <w:p w14:paraId="128D7338" w14:textId="1CC87C96" w:rsidR="009C522C" w:rsidRDefault="009C522C" w:rsidP="00B527C6">
      <w:pPr>
        <w:pStyle w:val="BodyText"/>
        <w:spacing w:line="276" w:lineRule="auto"/>
        <w:jc w:val="both"/>
      </w:pPr>
      <w:r w:rsidRPr="009C522C">
        <w:t xml:space="preserve">Data leakage represents one of the most insidious problems in healthcare machine learning, where information that would not legitimately be available at prediction time inadvertently influences model training. Leakage creates artificially inflated performance metrics that grossly overestimate real-world predictive capability, leading to dangerous overconfidence in model reliability when deployed. Systematic leakage detection and mitigation therefore </w:t>
      </w:r>
      <w:proofErr w:type="gramStart"/>
      <w:r w:rsidRPr="009C522C">
        <w:t>constitutes</w:t>
      </w:r>
      <w:proofErr w:type="gramEnd"/>
      <w:r w:rsidRPr="009C522C">
        <w:t xml:space="preserve"> an essential component of responsible model development.</w:t>
      </w:r>
    </w:p>
    <w:p w14:paraId="3599914A" w14:textId="77777777" w:rsidR="009C522C" w:rsidRPr="00AB0A54" w:rsidRDefault="009C522C" w:rsidP="00B527C6">
      <w:pPr>
        <w:spacing w:before="240" w:after="240"/>
        <w:ind w:right="231"/>
        <w:jc w:val="both"/>
        <w:rPr>
          <w:b/>
          <w:bCs/>
          <w:color w:val="1F1F1F"/>
        </w:rPr>
      </w:pPr>
      <w:r w:rsidRPr="00AB0A54">
        <w:rPr>
          <w:b/>
          <w:bCs/>
          <w:color w:val="1F1F1F"/>
        </w:rPr>
        <w:t>Leakage Detection Methodologies</w:t>
      </w:r>
    </w:p>
    <w:p w14:paraId="5F6790D5" w14:textId="77777777" w:rsidR="009C522C" w:rsidRPr="00AB0A54" w:rsidRDefault="009C522C" w:rsidP="00B527C6">
      <w:pPr>
        <w:spacing w:before="240" w:after="240"/>
        <w:ind w:right="231"/>
        <w:jc w:val="both"/>
        <w:rPr>
          <w:color w:val="1F1F1F"/>
        </w:rPr>
      </w:pPr>
      <w:r w:rsidRPr="00AB0A54">
        <w:rPr>
          <w:color w:val="1F1F1F"/>
        </w:rPr>
        <w:t xml:space="preserve">The project implemented multiple complementary approaches to identify potential leakage. Statistical screening examines correlations between each feature and target variables, flagging suspiciously high associations that suggest direct encoding of disease status rather than legitimate predictive relationships. Features exhibiting near-perfect correlation (&gt;0.95) or enabling near-perfect classification accuracy (AUC &gt;0.99) automatically trigger detailed investigation. Domain knowledge review involves clinical subject matter experts examining each feature to assess temporal validity—determining whether the information represented would genuinely be available before disease diagnosis in prospective prediction scenarios. Features like self-reported disease status (DIABETE4 for diabetes, BPHIGH6 for hypertension, CVDINFR4 for myocardial infarction) clearly fail this test as they represent confirmed diagnoses rather than risk factors. Ablation experiments systematically remove suspect features and evaluate performance changes, with minimal degradation suggesting the feature provided genuinely useful predictive information while substantial performance loss confirms leakage dependency where the model essentially learned to recognize existing diagnoses rather than predict future </w:t>
      </w:r>
      <w:proofErr w:type="gramStart"/>
      <w:r w:rsidRPr="00AB0A54">
        <w:rPr>
          <w:color w:val="1F1F1F"/>
        </w:rPr>
        <w:t>disease</w:t>
      </w:r>
      <w:proofErr w:type="gramEnd"/>
      <w:r w:rsidRPr="00AB0A54">
        <w:rPr>
          <w:color w:val="1F1F1F"/>
        </w:rPr>
        <w:t>.</w:t>
      </w:r>
    </w:p>
    <w:p w14:paraId="7A3EA35D" w14:textId="77777777" w:rsidR="009C522C" w:rsidRDefault="009C522C" w:rsidP="00B527C6">
      <w:pPr>
        <w:spacing w:before="240" w:after="240"/>
        <w:ind w:right="231"/>
        <w:jc w:val="both"/>
        <w:rPr>
          <w:b/>
          <w:bCs/>
          <w:color w:val="1F1F1F"/>
        </w:rPr>
      </w:pPr>
      <w:r w:rsidRPr="00AB0A54">
        <w:rPr>
          <w:b/>
          <w:bCs/>
          <w:color w:val="1F1F1F"/>
        </w:rPr>
        <w:t>Identified Leakage Sources</w:t>
      </w:r>
    </w:p>
    <w:p w14:paraId="7058D2EE" w14:textId="6BFD94B4" w:rsidR="009C522C" w:rsidRPr="00AB0A54" w:rsidRDefault="009C522C" w:rsidP="00B527C6">
      <w:pPr>
        <w:spacing w:before="240" w:after="240"/>
        <w:ind w:right="231"/>
        <w:jc w:val="both"/>
        <w:rPr>
          <w:color w:val="1F1F1F"/>
        </w:rPr>
      </w:pPr>
      <w:r w:rsidRPr="00AB0A54">
        <w:rPr>
          <w:color w:val="1F1F1F"/>
        </w:rPr>
        <w:t>The systematic detection process identified over thirty problematic features requiring exclusion. Direct diagnostic variables explicitly encoding disease status include DIABETE4, BPHIGH6, CHCKDNY2, CVDINFR4, CVDSTRK3, and ADDEPEV3 representing confirmed diagnoses of diabetes, hypertension, kidney disease, heart attack, stroke, and depression respectively. General health status variables like GENHLTH incorporate overall disease burden making them inappropriate for predicting specific conditions that likely influenced the general health rating. Mental health symptom measures such as MENTHLTH encode depression symptoms or consequences rather than independent risk factors. Certain engineered features created leakage through inappropriate incorporation of outcome-related information, including comprehensive BMI-derived features for obesity prediction, MMSE cognitive scores for dementia and Parkinson's prediction, and risk group classifications that incorporate disease status in their definitions.</w:t>
      </w:r>
    </w:p>
    <w:p w14:paraId="1AA0F557" w14:textId="77777777" w:rsidR="009C522C" w:rsidRPr="00AB0A54" w:rsidRDefault="009C522C" w:rsidP="00B527C6">
      <w:pPr>
        <w:spacing w:before="240" w:after="240"/>
        <w:ind w:right="231"/>
        <w:jc w:val="both"/>
        <w:rPr>
          <w:b/>
          <w:bCs/>
          <w:color w:val="1F1F1F"/>
        </w:rPr>
      </w:pPr>
      <w:r w:rsidRPr="00AB0A54">
        <w:rPr>
          <w:b/>
          <w:bCs/>
          <w:color w:val="1F1F1F"/>
        </w:rPr>
        <w:t>Leakage Mitigation Strategies</w:t>
      </w:r>
    </w:p>
    <w:p w14:paraId="2BF0CE44" w14:textId="77777777" w:rsidR="009C522C" w:rsidRDefault="009C522C" w:rsidP="00B527C6">
      <w:pPr>
        <w:spacing w:before="240" w:after="240"/>
        <w:ind w:right="231"/>
        <w:jc w:val="both"/>
        <w:rPr>
          <w:color w:val="1F1F1F"/>
        </w:rPr>
      </w:pPr>
      <w:r w:rsidRPr="00AB0A54">
        <w:rPr>
          <w:color w:val="1F1F1F"/>
        </w:rPr>
        <w:t xml:space="preserve">Upon identifying leaking features, rigorous exclusion protocols remove them from the modeling pipeline. The team created comprehensive exclusion lists documented in exact_exclusions.txt and </w:t>
      </w:r>
      <w:proofErr w:type="spellStart"/>
      <w:r w:rsidRPr="00AB0A54">
        <w:rPr>
          <w:color w:val="1F1F1F"/>
        </w:rPr>
        <w:t>detailed_leakage_report.json</w:t>
      </w:r>
      <w:proofErr w:type="spellEnd"/>
      <w:r w:rsidRPr="00AB0A54">
        <w:rPr>
          <w:color w:val="1F1F1F"/>
        </w:rPr>
        <w:t xml:space="preserve"> specifying precisely which features to exclude and providing rationale for each exclusion decision. Dual dataset versions enable empirical validation: the standard dataset retains all engineered features including suspect ones, while the clean dataset (FINAL_ENGINEERED_DATASET_CLEAN.csv) excludes all identified leaking features. Models trained on both versions enable direct comparison of performance metrics, with the clean version providing honest estimates of prospective predictive capability. Feature provenance tracking maintains detailed records of how each feature was derived, enabling future researchers to verify the legitimacy of included features and understand exclusion rationales. Temporal validation procedures, where possible given the </w:t>
      </w:r>
      <w:r w:rsidRPr="00AB0A54">
        <w:rPr>
          <w:color w:val="1F1F1F"/>
        </w:rPr>
        <w:lastRenderedPageBreak/>
        <w:t>cross-sectional nature of BRFSS data, would ideally verify predictions on truly future data collected after model training to definitively confirm absence of leakage.</w:t>
      </w:r>
    </w:p>
    <w:p w14:paraId="1A2BF0B4" w14:textId="639EEBC7" w:rsidR="0035317A" w:rsidRDefault="0035317A" w:rsidP="0035317A">
      <w:pPr>
        <w:pStyle w:val="ListParagraph"/>
        <w:numPr>
          <w:ilvl w:val="1"/>
          <w:numId w:val="21"/>
        </w:numPr>
        <w:spacing w:before="240" w:after="240"/>
        <w:ind w:left="284" w:right="231"/>
        <w:rPr>
          <w:color w:val="1F1F1F"/>
        </w:rPr>
      </w:pPr>
      <w:r w:rsidRPr="0035317A">
        <w:rPr>
          <w:color w:val="1F1F1F"/>
        </w:rPr>
        <w:t>Modeling, Training, and Optimization</w:t>
      </w:r>
    </w:p>
    <w:p w14:paraId="50101146" w14:textId="77777777" w:rsidR="0035317A" w:rsidRPr="0035317A" w:rsidRDefault="0035317A" w:rsidP="0035317A">
      <w:pPr>
        <w:spacing w:before="240" w:after="240"/>
        <w:ind w:right="231"/>
        <w:jc w:val="both"/>
        <w:rPr>
          <w:color w:val="1F1F1F"/>
        </w:rPr>
      </w:pPr>
      <w:r w:rsidRPr="0035317A">
        <w:rPr>
          <w:color w:val="1F1F1F"/>
        </w:rPr>
        <w:t>The modeling phase transforms prepared data and engineered features into trained predictive models through systematic procedures encompassing architecture selection, training protocols, hyperparameter optimization, and validation.</w:t>
      </w:r>
    </w:p>
    <w:p w14:paraId="137385B2" w14:textId="77777777" w:rsidR="0035317A" w:rsidRPr="0035317A" w:rsidRDefault="0035317A" w:rsidP="0035317A">
      <w:pPr>
        <w:spacing w:before="240" w:after="240"/>
        <w:ind w:right="231"/>
        <w:jc w:val="both"/>
        <w:rPr>
          <w:b/>
          <w:bCs/>
          <w:color w:val="1F1F1F"/>
        </w:rPr>
      </w:pPr>
      <w:r w:rsidRPr="0035317A">
        <w:rPr>
          <w:b/>
          <w:bCs/>
          <w:color w:val="1F1F1F"/>
        </w:rPr>
        <w:t>Architecture Selection</w:t>
      </w:r>
    </w:p>
    <w:p w14:paraId="51DCBA48" w14:textId="77777777" w:rsidR="0035317A" w:rsidRPr="0035317A" w:rsidRDefault="0035317A" w:rsidP="0035317A">
      <w:pPr>
        <w:spacing w:before="240" w:after="240"/>
        <w:ind w:right="231"/>
        <w:jc w:val="both"/>
        <w:rPr>
          <w:color w:val="1F1F1F"/>
        </w:rPr>
      </w:pPr>
      <w:r w:rsidRPr="0035317A">
        <w:rPr>
          <w:color w:val="1F1F1F"/>
        </w:rPr>
        <w:t>The multi-label classification problem—predicting simultaneous risk across twelve diseases—could be approached through various architectural paradigms. The project selected the Binary Relevance method, which decomposes multi-label prediction into twelve independent binary classification problems, each predicting risk for a single disease. This approach offers several advantages: computational efficiency through parallel training of independent models, interpretability through disease-specific feature importance analysis, flexibility to optimize each model independently for its specific target distribution, and simplicity enabling straightforward implementation and troubleshooting. Alternative approaches like Classifier Chains that model label dependencies or multi-output neural networks were considered but rejected due to increased complexity and reduced interpretability without clear performance advantages for this application.</w:t>
      </w:r>
    </w:p>
    <w:p w14:paraId="1BE333FA" w14:textId="77777777" w:rsidR="0035317A" w:rsidRPr="0035317A" w:rsidRDefault="0035317A" w:rsidP="0035317A">
      <w:pPr>
        <w:spacing w:before="240" w:after="240"/>
        <w:ind w:right="231"/>
        <w:jc w:val="both"/>
        <w:rPr>
          <w:b/>
          <w:bCs/>
          <w:color w:val="1F1F1F"/>
        </w:rPr>
      </w:pPr>
      <w:r w:rsidRPr="0035317A">
        <w:rPr>
          <w:b/>
          <w:bCs/>
          <w:color w:val="1F1F1F"/>
        </w:rPr>
        <w:t>Base Classifier Selection</w:t>
      </w:r>
    </w:p>
    <w:p w14:paraId="764DACCC" w14:textId="77777777" w:rsidR="0035317A" w:rsidRPr="0035317A" w:rsidRDefault="0035317A" w:rsidP="0035317A">
      <w:pPr>
        <w:spacing w:before="240" w:after="240"/>
        <w:ind w:right="231"/>
        <w:jc w:val="both"/>
        <w:rPr>
          <w:color w:val="1F1F1F"/>
        </w:rPr>
      </w:pPr>
      <w:r w:rsidRPr="0035317A">
        <w:rPr>
          <w:color w:val="1F1F1F"/>
        </w:rPr>
        <w:t xml:space="preserve">XGBoost gradient boosting machines were selected as base classifiers for each binary problem due to their superior performance characteristics on tabular healthcare data. XGBoost advantages include handling missing values natively without requiring complete imputation, built-in regularization mechanisms preventing overfitting through parameters like </w:t>
      </w:r>
      <w:proofErr w:type="spellStart"/>
      <w:r w:rsidRPr="0035317A">
        <w:rPr>
          <w:color w:val="1F1F1F"/>
        </w:rPr>
        <w:t>max_depth</w:t>
      </w:r>
      <w:proofErr w:type="spellEnd"/>
      <w:r w:rsidRPr="0035317A">
        <w:rPr>
          <w:color w:val="1F1F1F"/>
        </w:rPr>
        <w:t xml:space="preserve"> and </w:t>
      </w:r>
      <w:proofErr w:type="spellStart"/>
      <w:r w:rsidRPr="0035317A">
        <w:rPr>
          <w:color w:val="1F1F1F"/>
        </w:rPr>
        <w:t>min_child_weight</w:t>
      </w:r>
      <w:proofErr w:type="spellEnd"/>
      <w:r w:rsidRPr="0035317A">
        <w:rPr>
          <w:color w:val="1F1F1F"/>
        </w:rPr>
        <w:t xml:space="preserve">, feature importance quantification enabling interpretability, computational efficiency through parallel </w:t>
      </w:r>
      <w:r w:rsidRPr="0035317A">
        <w:rPr>
          <w:color w:val="1F1F1F"/>
        </w:rPr>
        <w:t>processing and tree pruning, and robust performance across diverse data distributions. Each of the twelve disease-specific models employs an independent XGBoost classifier trained on the shared thirty-feature input space but optimized specifically for its target disease outcome.</w:t>
      </w:r>
    </w:p>
    <w:p w14:paraId="1CEB0A0B" w14:textId="77777777" w:rsidR="0035317A" w:rsidRPr="0035317A" w:rsidRDefault="0035317A" w:rsidP="0035317A">
      <w:pPr>
        <w:spacing w:before="240" w:after="240"/>
        <w:ind w:right="231"/>
        <w:jc w:val="both"/>
        <w:rPr>
          <w:b/>
          <w:bCs/>
          <w:color w:val="1F1F1F"/>
        </w:rPr>
      </w:pPr>
      <w:r w:rsidRPr="0035317A">
        <w:rPr>
          <w:b/>
          <w:bCs/>
          <w:color w:val="1F1F1F"/>
        </w:rPr>
        <w:t>Training Procedures</w:t>
      </w:r>
    </w:p>
    <w:p w14:paraId="7FED0C41" w14:textId="77777777" w:rsidR="0035317A" w:rsidRPr="0035317A" w:rsidRDefault="0035317A" w:rsidP="0035317A">
      <w:pPr>
        <w:spacing w:before="240" w:after="240"/>
        <w:ind w:right="231"/>
        <w:jc w:val="both"/>
        <w:rPr>
          <w:color w:val="1F1F1F"/>
        </w:rPr>
      </w:pPr>
      <w:r w:rsidRPr="0035317A">
        <w:rPr>
          <w:color w:val="1F1F1F"/>
        </w:rPr>
        <w:t xml:space="preserve">Model training followed standard supervised learning protocols with careful attention to healthcare-specific considerations. Dataset splitting divided the 400,000+ records into 80% training and 20% testing sets using stratified sampling to maintain consistent disease prevalence rates across splits. Feature standardization applied </w:t>
      </w:r>
      <w:proofErr w:type="spellStart"/>
      <w:r w:rsidRPr="0035317A">
        <w:rPr>
          <w:color w:val="1F1F1F"/>
        </w:rPr>
        <w:t>StandardScaler</w:t>
      </w:r>
      <w:proofErr w:type="spellEnd"/>
      <w:r w:rsidRPr="0035317A">
        <w:rPr>
          <w:color w:val="1F1F1F"/>
        </w:rPr>
        <w:t xml:space="preserve"> transformation to the training set, with identical transformation parameters applied to the test set to prevent information leakage from test statistics influencing training. Class weight balancing addressed severe class imbalance for rare diseases like epilepsy and Parkinson's by assigning higher weights to minority class instances during loss computation, effectively increasing the penalty for misclassifying rare positive cases. This approach enables models to achieve better sensitivity for rare diseases while maintaining reasonable specificity.</w:t>
      </w:r>
    </w:p>
    <w:p w14:paraId="43FC05A9" w14:textId="77777777" w:rsidR="0035317A" w:rsidRPr="0035317A" w:rsidRDefault="0035317A" w:rsidP="0035317A">
      <w:pPr>
        <w:spacing w:before="240" w:after="240"/>
        <w:ind w:right="231"/>
        <w:jc w:val="both"/>
        <w:rPr>
          <w:b/>
          <w:bCs/>
          <w:color w:val="1F1F1F"/>
        </w:rPr>
      </w:pPr>
      <w:r w:rsidRPr="0035317A">
        <w:rPr>
          <w:b/>
          <w:bCs/>
          <w:color w:val="1F1F1F"/>
        </w:rPr>
        <w:t>Hyperparameter Optimization</w:t>
      </w:r>
    </w:p>
    <w:p w14:paraId="3671FB89" w14:textId="77777777" w:rsidR="0035317A" w:rsidRPr="0035317A" w:rsidRDefault="0035317A" w:rsidP="0035317A">
      <w:pPr>
        <w:spacing w:before="240" w:after="240"/>
        <w:ind w:right="231"/>
        <w:jc w:val="both"/>
        <w:rPr>
          <w:color w:val="1F1F1F"/>
        </w:rPr>
      </w:pPr>
      <w:r w:rsidRPr="0035317A">
        <w:rPr>
          <w:color w:val="1F1F1F"/>
        </w:rPr>
        <w:t xml:space="preserve">Systematic hyperparameter tuning employed grid search with 5-fold cross-validation to identify optimal configurations. The search space encompassed key XGBoost parameters: </w:t>
      </w:r>
      <w:proofErr w:type="spellStart"/>
      <w:r w:rsidRPr="0035317A">
        <w:rPr>
          <w:color w:val="1F1F1F"/>
        </w:rPr>
        <w:t>learning_rate</w:t>
      </w:r>
      <w:proofErr w:type="spellEnd"/>
      <w:r w:rsidRPr="0035317A">
        <w:rPr>
          <w:color w:val="1F1F1F"/>
        </w:rPr>
        <w:t xml:space="preserve"> ranging from 0.01 to 0.3 controlling gradient descent step size, </w:t>
      </w:r>
      <w:proofErr w:type="spellStart"/>
      <w:r w:rsidRPr="0035317A">
        <w:rPr>
          <w:color w:val="1F1F1F"/>
        </w:rPr>
        <w:t>max_depth</w:t>
      </w:r>
      <w:proofErr w:type="spellEnd"/>
      <w:r w:rsidRPr="0035317A">
        <w:rPr>
          <w:color w:val="1F1F1F"/>
        </w:rPr>
        <w:t xml:space="preserve"> from 3 to 10 determining maximum tree depth and model complexity, </w:t>
      </w:r>
      <w:proofErr w:type="spellStart"/>
      <w:r w:rsidRPr="0035317A">
        <w:rPr>
          <w:color w:val="1F1F1F"/>
        </w:rPr>
        <w:t>n_estimators</w:t>
      </w:r>
      <w:proofErr w:type="spellEnd"/>
      <w:r w:rsidRPr="0035317A">
        <w:rPr>
          <w:color w:val="1F1F1F"/>
        </w:rPr>
        <w:t xml:space="preserve"> from 100 to 500 specifying boosting rounds, subsample from 0.5 to 1.0 controlling training sample fraction per tree, </w:t>
      </w:r>
      <w:proofErr w:type="spellStart"/>
      <w:r w:rsidRPr="0035317A">
        <w:rPr>
          <w:color w:val="1F1F1F"/>
        </w:rPr>
        <w:t>colsample_bytree</w:t>
      </w:r>
      <w:proofErr w:type="spellEnd"/>
      <w:r w:rsidRPr="0035317A">
        <w:rPr>
          <w:color w:val="1F1F1F"/>
        </w:rPr>
        <w:t xml:space="preserve"> from 0.5 to 1.0 determining feature sampling ratio, </w:t>
      </w:r>
      <w:proofErr w:type="spellStart"/>
      <w:r w:rsidRPr="0035317A">
        <w:rPr>
          <w:color w:val="1F1F1F"/>
        </w:rPr>
        <w:t>reg_alpha</w:t>
      </w:r>
      <w:proofErr w:type="spellEnd"/>
      <w:r w:rsidRPr="0035317A">
        <w:rPr>
          <w:color w:val="1F1F1F"/>
        </w:rPr>
        <w:t xml:space="preserve"> from 0 to 1 applying L1 regularization, and </w:t>
      </w:r>
      <w:proofErr w:type="spellStart"/>
      <w:r w:rsidRPr="0035317A">
        <w:rPr>
          <w:color w:val="1F1F1F"/>
        </w:rPr>
        <w:t>reg_lambda</w:t>
      </w:r>
      <w:proofErr w:type="spellEnd"/>
      <w:r w:rsidRPr="0035317A">
        <w:rPr>
          <w:color w:val="1F1F1F"/>
        </w:rPr>
        <w:t xml:space="preserve"> from 0 to 10 applying L2 regularization. The optimization process executed 500 training iterations for the primary model as documented in </w:t>
      </w:r>
      <w:proofErr w:type="spellStart"/>
      <w:r w:rsidRPr="0035317A">
        <w:rPr>
          <w:color w:val="1F1F1F"/>
        </w:rPr>
        <w:t>catboost_training.json</w:t>
      </w:r>
      <w:proofErr w:type="spellEnd"/>
      <w:r w:rsidRPr="0035317A">
        <w:rPr>
          <w:color w:val="1F1F1F"/>
        </w:rPr>
        <w:t xml:space="preserve">, systematically evaluating </w:t>
      </w:r>
      <w:r w:rsidRPr="0035317A">
        <w:rPr>
          <w:color w:val="1F1F1F"/>
        </w:rPr>
        <w:lastRenderedPageBreak/>
        <w:t>parameter combinations and selecting the configuration maximizing cross-validated ROC-AUC. The optimal parameters (</w:t>
      </w:r>
      <w:proofErr w:type="spellStart"/>
      <w:r w:rsidRPr="0035317A">
        <w:rPr>
          <w:color w:val="1F1F1F"/>
        </w:rPr>
        <w:t>learning_rate</w:t>
      </w:r>
      <w:proofErr w:type="spellEnd"/>
      <w:r w:rsidRPr="0035317A">
        <w:rPr>
          <w:color w:val="1F1F1F"/>
        </w:rPr>
        <w:t xml:space="preserve">=0.1, </w:t>
      </w:r>
      <w:proofErr w:type="spellStart"/>
      <w:r w:rsidRPr="0035317A">
        <w:rPr>
          <w:color w:val="1F1F1F"/>
        </w:rPr>
        <w:t>max_depth</w:t>
      </w:r>
      <w:proofErr w:type="spellEnd"/>
      <w:r w:rsidRPr="0035317A">
        <w:rPr>
          <w:color w:val="1F1F1F"/>
        </w:rPr>
        <w:t xml:space="preserve">=6, </w:t>
      </w:r>
      <w:proofErr w:type="spellStart"/>
      <w:r w:rsidRPr="0035317A">
        <w:rPr>
          <w:color w:val="1F1F1F"/>
        </w:rPr>
        <w:t>n_estimators</w:t>
      </w:r>
      <w:proofErr w:type="spellEnd"/>
      <w:r w:rsidRPr="0035317A">
        <w:rPr>
          <w:color w:val="1F1F1F"/>
        </w:rPr>
        <w:t xml:space="preserve">=200, subsample=0.7, </w:t>
      </w:r>
      <w:proofErr w:type="spellStart"/>
      <w:r w:rsidRPr="0035317A">
        <w:rPr>
          <w:color w:val="1F1F1F"/>
        </w:rPr>
        <w:t>colsample_bytree</w:t>
      </w:r>
      <w:proofErr w:type="spellEnd"/>
      <w:r w:rsidRPr="0035317A">
        <w:rPr>
          <w:color w:val="1F1F1F"/>
        </w:rPr>
        <w:t xml:space="preserve">=0.8, </w:t>
      </w:r>
      <w:proofErr w:type="spellStart"/>
      <w:r w:rsidRPr="0035317A">
        <w:rPr>
          <w:color w:val="1F1F1F"/>
        </w:rPr>
        <w:t>reg_alpha</w:t>
      </w:r>
      <w:proofErr w:type="spellEnd"/>
      <w:r w:rsidRPr="0035317A">
        <w:rPr>
          <w:color w:val="1F1F1F"/>
        </w:rPr>
        <w:t xml:space="preserve">=0.01, </w:t>
      </w:r>
      <w:proofErr w:type="spellStart"/>
      <w:r w:rsidRPr="0035317A">
        <w:rPr>
          <w:color w:val="1F1F1F"/>
        </w:rPr>
        <w:t>reg_lambda</w:t>
      </w:r>
      <w:proofErr w:type="spellEnd"/>
      <w:r w:rsidRPr="0035317A">
        <w:rPr>
          <w:color w:val="1F1F1F"/>
        </w:rPr>
        <w:t xml:space="preserve">=1, </w:t>
      </w:r>
      <w:proofErr w:type="spellStart"/>
      <w:r w:rsidRPr="0035317A">
        <w:rPr>
          <w:color w:val="1F1F1F"/>
        </w:rPr>
        <w:t>min_child_weight</w:t>
      </w:r>
      <w:proofErr w:type="spellEnd"/>
      <w:r w:rsidRPr="0035317A">
        <w:rPr>
          <w:color w:val="1F1F1F"/>
        </w:rPr>
        <w:t>=3) balance model expressiveness against overfitting risk while maintaining computational efficiency.</w:t>
      </w:r>
    </w:p>
    <w:p w14:paraId="4DCB9A20" w14:textId="77777777" w:rsidR="0035317A" w:rsidRPr="00B527C6" w:rsidRDefault="0035317A" w:rsidP="0035317A">
      <w:pPr>
        <w:spacing w:before="240" w:after="240"/>
        <w:ind w:right="231"/>
        <w:jc w:val="both"/>
        <w:rPr>
          <w:b/>
          <w:bCs/>
          <w:color w:val="1F1F1F"/>
        </w:rPr>
      </w:pPr>
      <w:r w:rsidRPr="00B527C6">
        <w:rPr>
          <w:b/>
          <w:bCs/>
          <w:color w:val="1F1F1F"/>
        </w:rPr>
        <w:t>Model Evaluation</w:t>
      </w:r>
    </w:p>
    <w:p w14:paraId="4D053E72" w14:textId="16E491EC" w:rsidR="0035317A" w:rsidRDefault="0035317A" w:rsidP="0035317A">
      <w:pPr>
        <w:spacing w:before="240" w:after="240"/>
        <w:ind w:right="231"/>
        <w:jc w:val="both"/>
        <w:rPr>
          <w:color w:val="1F1F1F"/>
        </w:rPr>
      </w:pPr>
      <w:r w:rsidRPr="0035317A">
        <w:rPr>
          <w:color w:val="1F1F1F"/>
        </w:rPr>
        <w:t>Comprehensive evaluation employed multiple complementary metrics appropriate for imbalanced binary classification. ROC-AUC quantifies overall discriminative ability across all classification thresholds, providing threshold-independent performance assessment. Precision measures positive predictive value, critical for clinical settings where false positives generate unnecessary anxiety and expensive follow-up testing. Recall quantifies sensitivity, crucial for ensuring high-risk individuals are not missed. F1-score harmonically balances precision and recall. Confusion matrices provide detailed breakdowns of true positives, false positives, true negatives, and false negatives enabling nuanced performance understanding. These metrics are computed separately for each of the twelve disease-specific models on the held-out test set, with results documented in model_performance.csv and model_performance_CLEAN.csv comparing standard versus leak-free versions.</w:t>
      </w:r>
    </w:p>
    <w:p w14:paraId="65E474D4" w14:textId="79CD7C37" w:rsidR="0035317A" w:rsidRPr="0035317A" w:rsidRDefault="0035317A" w:rsidP="0035317A">
      <w:pPr>
        <w:pStyle w:val="ListParagraph"/>
        <w:numPr>
          <w:ilvl w:val="1"/>
          <w:numId w:val="21"/>
        </w:numPr>
        <w:spacing w:before="240" w:after="240"/>
        <w:ind w:left="284" w:right="231" w:hanging="284"/>
        <w:rPr>
          <w:color w:val="1F1F1F"/>
        </w:rPr>
      </w:pPr>
      <w:r>
        <w:rPr>
          <w:color w:val="1F1F1F"/>
        </w:rPr>
        <w:t xml:space="preserve"> </w:t>
      </w:r>
      <w:r w:rsidRPr="0035317A">
        <w:rPr>
          <w:color w:val="1F1F1F"/>
        </w:rPr>
        <w:t>Output and Visualization</w:t>
      </w:r>
    </w:p>
    <w:p w14:paraId="1D66EFCC" w14:textId="77777777" w:rsidR="0035317A" w:rsidRPr="0035317A" w:rsidRDefault="0035317A" w:rsidP="0035317A">
      <w:pPr>
        <w:spacing w:before="240" w:after="240"/>
        <w:ind w:right="231"/>
        <w:jc w:val="both"/>
        <w:rPr>
          <w:color w:val="1F1F1F"/>
        </w:rPr>
      </w:pPr>
      <w:r w:rsidRPr="0035317A">
        <w:rPr>
          <w:color w:val="1F1F1F"/>
        </w:rPr>
        <w:t>The final pipeline component transforms trained models into actionable insights through comprehensive output generation and visualization frameworks enabling clinical interpretation and decision support.</w:t>
      </w:r>
    </w:p>
    <w:p w14:paraId="110A1764" w14:textId="77777777" w:rsidR="0035317A" w:rsidRPr="0035317A" w:rsidRDefault="0035317A" w:rsidP="0035317A">
      <w:pPr>
        <w:spacing w:before="240" w:after="240"/>
        <w:ind w:right="231"/>
        <w:jc w:val="both"/>
        <w:rPr>
          <w:b/>
          <w:bCs/>
          <w:color w:val="1F1F1F"/>
        </w:rPr>
      </w:pPr>
      <w:r w:rsidRPr="0035317A">
        <w:rPr>
          <w:b/>
          <w:bCs/>
          <w:color w:val="1F1F1F"/>
        </w:rPr>
        <w:t>Prediction Generation</w:t>
      </w:r>
    </w:p>
    <w:p w14:paraId="4B30063C" w14:textId="77777777" w:rsidR="0035317A" w:rsidRPr="0035317A" w:rsidRDefault="0035317A" w:rsidP="0035317A">
      <w:pPr>
        <w:spacing w:before="240" w:after="240"/>
        <w:ind w:right="231"/>
        <w:jc w:val="both"/>
        <w:rPr>
          <w:color w:val="1F1F1F"/>
        </w:rPr>
      </w:pPr>
      <w:r w:rsidRPr="0035317A">
        <w:rPr>
          <w:color w:val="1F1F1F"/>
        </w:rPr>
        <w:t xml:space="preserve">For any given patient profile represented as a thirty-feature vector, the system generates simultaneous risk predictions across all twelve diseases by feeding the input through each disease-specific XGBoost model. Each model outputs a probability score between 0 and 1 representing estimated likelihood that the patient </w:t>
      </w:r>
      <w:r w:rsidRPr="0035317A">
        <w:rPr>
          <w:color w:val="1F1F1F"/>
        </w:rPr>
        <w:t xml:space="preserve">will develop (or currently has) that specific disease. These twelve probability scores constitute the patient's comprehensive risk profile spanning Neuro-Cognitive, Cardiovascular, and Metabolic domains. Threshold application converts continuous probabilities into binary high-risk/low-risk classifications based on clinically appropriate </w:t>
      </w:r>
      <w:proofErr w:type="spellStart"/>
      <w:r w:rsidRPr="0035317A">
        <w:rPr>
          <w:color w:val="1F1F1F"/>
        </w:rPr>
        <w:t>cutpoints</w:t>
      </w:r>
      <w:proofErr w:type="spellEnd"/>
      <w:r w:rsidRPr="0035317A">
        <w:rPr>
          <w:color w:val="1F1F1F"/>
        </w:rPr>
        <w:t xml:space="preserve"> balancing sensitivity and specificity according to intervention availability and false positive tolerance.</w:t>
      </w:r>
    </w:p>
    <w:p w14:paraId="0C6BFA66" w14:textId="77777777" w:rsidR="0035317A" w:rsidRPr="0035317A" w:rsidRDefault="0035317A" w:rsidP="0035317A">
      <w:pPr>
        <w:spacing w:before="240" w:after="240"/>
        <w:ind w:right="231"/>
        <w:jc w:val="both"/>
        <w:rPr>
          <w:b/>
          <w:bCs/>
          <w:color w:val="1F1F1F"/>
        </w:rPr>
      </w:pPr>
      <w:r w:rsidRPr="0035317A">
        <w:rPr>
          <w:b/>
          <w:bCs/>
          <w:color w:val="1F1F1F"/>
        </w:rPr>
        <w:t>Interpretability Analysis</w:t>
      </w:r>
    </w:p>
    <w:p w14:paraId="2571E34A" w14:textId="77777777" w:rsidR="0035317A" w:rsidRPr="0035317A" w:rsidRDefault="0035317A" w:rsidP="0035317A">
      <w:pPr>
        <w:spacing w:before="240" w:after="240"/>
        <w:ind w:right="231"/>
        <w:jc w:val="both"/>
        <w:rPr>
          <w:color w:val="1F1F1F"/>
        </w:rPr>
      </w:pPr>
      <w:r w:rsidRPr="0035317A">
        <w:rPr>
          <w:color w:val="1F1F1F"/>
        </w:rPr>
        <w:t>SHAP (</w:t>
      </w:r>
      <w:proofErr w:type="spellStart"/>
      <w:r w:rsidRPr="0035317A">
        <w:rPr>
          <w:color w:val="1F1F1F"/>
        </w:rPr>
        <w:t>SHapley</w:t>
      </w:r>
      <w:proofErr w:type="spellEnd"/>
      <w:r w:rsidRPr="0035317A">
        <w:rPr>
          <w:color w:val="1F1F1F"/>
        </w:rPr>
        <w:t xml:space="preserve"> Additive </w:t>
      </w:r>
      <w:proofErr w:type="spellStart"/>
      <w:r w:rsidRPr="0035317A">
        <w:rPr>
          <w:color w:val="1F1F1F"/>
        </w:rPr>
        <w:t>exPlanations</w:t>
      </w:r>
      <w:proofErr w:type="spellEnd"/>
      <w:r w:rsidRPr="0035317A">
        <w:rPr>
          <w:color w:val="1F1F1F"/>
        </w:rPr>
        <w:t>) analysis provides transparent insights into model decision-making by quantifying each feature's contribution to individual predictions. For each disease model, SHAP values decompose the prediction into additive feature contributions, enabling clinicians to understand precisely which patient characteristics drove elevated risk scores. Global feature importance rankings aggregate SHAP values across all patients to identify generally influential features. Disease-specific importance plots (models/plots/TARGET_*/feature_importance.png) reveal which factors most strongly predict each condition, with results documented in CSV files (feature_importance.csv) for each disease. SHAP summary plots (shap_summary.png) visualize feature impact distributions showing how feature values relate to prediction contributions, while SHAP bar charts (shap_bar.png) provide simpler ranked importance displays.</w:t>
      </w:r>
    </w:p>
    <w:p w14:paraId="1D294542" w14:textId="77777777" w:rsidR="0035317A" w:rsidRPr="0035317A" w:rsidRDefault="0035317A" w:rsidP="0035317A">
      <w:pPr>
        <w:spacing w:before="240" w:after="240"/>
        <w:ind w:right="231"/>
        <w:jc w:val="both"/>
        <w:rPr>
          <w:b/>
          <w:bCs/>
          <w:color w:val="1F1F1F"/>
        </w:rPr>
      </w:pPr>
      <w:r w:rsidRPr="0035317A">
        <w:rPr>
          <w:b/>
          <w:bCs/>
          <w:color w:val="1F1F1F"/>
        </w:rPr>
        <w:t>Performance Visualizations</w:t>
      </w:r>
    </w:p>
    <w:p w14:paraId="5352B15E" w14:textId="77777777" w:rsidR="0035317A" w:rsidRPr="0035317A" w:rsidRDefault="0035317A" w:rsidP="0035317A">
      <w:pPr>
        <w:spacing w:before="240" w:after="240"/>
        <w:ind w:right="231"/>
        <w:jc w:val="both"/>
        <w:rPr>
          <w:color w:val="1F1F1F"/>
        </w:rPr>
      </w:pPr>
      <w:r w:rsidRPr="0035317A">
        <w:rPr>
          <w:color w:val="1F1F1F"/>
        </w:rPr>
        <w:t xml:space="preserve">Comprehensive performance visualization enables assessment of model quality and identification of areas requiring improvement. ROC curves (roc_curve.png) plot true positive rate against false positive rate across all classification thresholds, with the area under the curve quantifying overall discriminative ability. Confusion matrices (confusion_matrix.png) display classification outcomes in tabular format enabling calculation of accuracy, precision, recall, and F1-score. Model comparison summaries (model_comparison_summary.csv) tabulate performance metrics across all twelve diseases and </w:t>
      </w:r>
      <w:r w:rsidRPr="0035317A">
        <w:rPr>
          <w:color w:val="1F1F1F"/>
        </w:rPr>
        <w:lastRenderedPageBreak/>
        <w:t>alternative algorithms tested, facilitating identification of best-performing approaches. Distribution visualizations including target prevalence plots (target_prevalence.png), age distribution by disease (age_distribution_by_disease.png), and comorbidity patterns (comorbidity_distribution.png) provide epidemiological context for model predictions.</w:t>
      </w:r>
    </w:p>
    <w:p w14:paraId="266B4C6D" w14:textId="77777777" w:rsidR="0035317A" w:rsidRPr="0035317A" w:rsidRDefault="0035317A" w:rsidP="0035317A">
      <w:pPr>
        <w:spacing w:before="240" w:after="240"/>
        <w:ind w:right="231"/>
        <w:jc w:val="both"/>
        <w:rPr>
          <w:b/>
          <w:bCs/>
          <w:color w:val="1F1F1F"/>
        </w:rPr>
      </w:pPr>
      <w:r w:rsidRPr="0035317A">
        <w:rPr>
          <w:b/>
          <w:bCs/>
          <w:color w:val="1F1F1F"/>
        </w:rPr>
        <w:t>Clinical Decision Support</w:t>
      </w:r>
    </w:p>
    <w:p w14:paraId="0790B867" w14:textId="7D5FACF0" w:rsidR="0035317A" w:rsidRDefault="0035317A" w:rsidP="0035317A">
      <w:pPr>
        <w:spacing w:before="240" w:after="240"/>
        <w:ind w:right="231"/>
        <w:jc w:val="both"/>
        <w:rPr>
          <w:color w:val="1F1F1F"/>
        </w:rPr>
      </w:pPr>
      <w:r w:rsidRPr="0035317A">
        <w:rPr>
          <w:color w:val="1F1F1F"/>
        </w:rPr>
        <w:t>The ultimate output delivers actionable clinical insights through risk stratification reports that communicate findings in clinically meaningful terms. High-risk identification flags patients exceeding risk thresholds for any disease, triggering alerts for healthcare providers to consider preventive interventions. Multi-disease risk profiles display simultaneous risk across all conditions, enabling recognition of comorbidity patterns and systemic vulnerabilities requiring comprehensive management rather than disease-by-disease approaches. Feature contribution explanations accompany risk scores, explaining which patient characteristics drove elevated risk and suggesting potential intervention targets. Personalized recommendations leverage feature importances to suggest specific modifiable risk factors where intervention could most effectively reduce overall disease burden.</w:t>
      </w:r>
    </w:p>
    <w:p w14:paraId="24AC8229" w14:textId="77777777" w:rsidR="00B527C6" w:rsidRDefault="00B527C6" w:rsidP="0035317A">
      <w:pPr>
        <w:spacing w:before="240" w:after="240"/>
        <w:ind w:right="231"/>
        <w:jc w:val="both"/>
        <w:rPr>
          <w:color w:val="1F1F1F"/>
        </w:rPr>
      </w:pPr>
    </w:p>
    <w:p w14:paraId="31C6968C" w14:textId="5F5DF552" w:rsidR="0035317A" w:rsidRDefault="00B80B84" w:rsidP="00B527C6">
      <w:pPr>
        <w:pStyle w:val="ListParagraph"/>
        <w:numPr>
          <w:ilvl w:val="0"/>
          <w:numId w:val="60"/>
        </w:numPr>
        <w:spacing w:before="240" w:after="240"/>
        <w:ind w:left="284" w:right="231" w:hanging="142"/>
        <w:jc w:val="center"/>
        <w:rPr>
          <w:color w:val="1F1F1F"/>
          <w:sz w:val="24"/>
          <w:szCs w:val="24"/>
        </w:rPr>
      </w:pPr>
      <w:r w:rsidRPr="00B80B84">
        <w:rPr>
          <w:color w:val="1F1F1F"/>
          <w:sz w:val="24"/>
          <w:szCs w:val="24"/>
        </w:rPr>
        <w:t>Advanced Concepts or Modern Techniques</w:t>
      </w:r>
    </w:p>
    <w:p w14:paraId="180649DE" w14:textId="000F3F00" w:rsidR="00B80B84" w:rsidRDefault="00B527C6" w:rsidP="00B80B84">
      <w:pPr>
        <w:spacing w:before="240" w:after="240"/>
        <w:ind w:right="231" w:hanging="142"/>
        <w:rPr>
          <w:color w:val="1F1F1F"/>
        </w:rPr>
      </w:pPr>
      <w:r>
        <w:rPr>
          <w:color w:val="1F1F1F"/>
        </w:rPr>
        <w:t>3</w:t>
      </w:r>
      <w:r w:rsidR="00B80B84" w:rsidRPr="00B80B84">
        <w:rPr>
          <w:color w:val="1F1F1F"/>
        </w:rPr>
        <w:t>.1 Multi-label Modeling Strategy</w:t>
      </w:r>
      <w:r w:rsidR="00B80B84">
        <w:rPr>
          <w:color w:val="1F1F1F"/>
        </w:rPr>
        <w:t xml:space="preserve"> </w:t>
      </w:r>
    </w:p>
    <w:p w14:paraId="6A0BFC29" w14:textId="5B03541F" w:rsidR="00B80B84" w:rsidRDefault="00B80B84" w:rsidP="00B80B84">
      <w:pPr>
        <w:pStyle w:val="ListParagraph"/>
        <w:numPr>
          <w:ilvl w:val="0"/>
          <w:numId w:val="28"/>
        </w:numPr>
        <w:spacing w:before="240" w:after="240"/>
        <w:ind w:left="142" w:right="231" w:hanging="142"/>
        <w:rPr>
          <w:color w:val="1F1F1F"/>
        </w:rPr>
      </w:pPr>
      <w:r w:rsidRPr="00B80B84">
        <w:rPr>
          <w:color w:val="1F1F1F"/>
        </w:rPr>
        <w:t>Binary Relevance with XGBoost/Gradient Boosting</w:t>
      </w:r>
    </w:p>
    <w:p w14:paraId="435B3CEC" w14:textId="77777777" w:rsidR="00B80B84" w:rsidRPr="00B80B84" w:rsidRDefault="00B80B84" w:rsidP="00B80B84">
      <w:pPr>
        <w:jc w:val="both"/>
      </w:pPr>
      <w:r w:rsidRPr="00B80B84">
        <w:t>The multi-disease prediction architecture implements a Binary Relevance decomposition strategy, transforming the complex multi-label classification problem into twelve independent binary classification tasks. Each classifier addresses prediction for a single disease outcome, enabling parallel model development, disease-specific optimization, and straightforward interpretability of feature contributions.</w:t>
      </w:r>
    </w:p>
    <w:p w14:paraId="1E3CF6EA" w14:textId="77777777" w:rsidR="00B80B84" w:rsidRPr="00B80B84" w:rsidRDefault="00B80B84" w:rsidP="00B80B84">
      <w:pPr>
        <w:jc w:val="both"/>
      </w:pPr>
      <w:r w:rsidRPr="00B80B84">
        <w:t>The selection of gradient-boosted decision trees, specifically XGBoost, as the base classifier reflects careful consideration of healthcare data characteristics. XGBoost demonstrates superior performance on tabular healthcare data through its ensemble of decision trees that sequentially correct prediction errors. The algorithm constructs an additive model where each successive tree focuses on minimizing residual errors from prior iterations, with gradient descent guiding the optimization process. This iterative refinement proves particularly effective for capturing the non-linear relationships and complex interactions characteristic of chronic disease risk factors.</w:t>
      </w:r>
    </w:p>
    <w:p w14:paraId="23D925EF" w14:textId="77777777" w:rsidR="00B80B84" w:rsidRPr="00B80B84" w:rsidRDefault="00B80B84" w:rsidP="00B80B84">
      <w:pPr>
        <w:jc w:val="both"/>
      </w:pPr>
      <w:r w:rsidRPr="00B80B84">
        <w:t xml:space="preserve">The architectural choice offers several critical advantages for clinical deployment. First, the independent training of disease-specific models permits tailored hyperparameter configurations that optimize performance for each condition's unique prevalence and risk factor profile. Rare diseases like Parkinson's Disease and Epilepsy require aggressive class imbalance handling through sample weighting and threshold adjustment, while highly prevalent conditions like Hypertension benefit from standard configurations emphasizing specificity. Second, </w:t>
      </w:r>
      <w:proofErr w:type="gramStart"/>
      <w:r w:rsidRPr="00B80B84">
        <w:t>the decomposition</w:t>
      </w:r>
      <w:proofErr w:type="gramEnd"/>
      <w:r w:rsidRPr="00B80B84">
        <w:t xml:space="preserve"> enables transparent feature importance analysis at the disease level, revealing which patient characteristics most strongly predict each specific condition. Third, computational efficiency improves dramatically compared to monolithic multi-output approaches, as the twelve models train in parallel rather than requiring joint optimization across all labels simultaneously.</w:t>
      </w:r>
    </w:p>
    <w:p w14:paraId="5C90FAC5" w14:textId="77777777" w:rsidR="00B80B84" w:rsidRPr="00B80B84" w:rsidRDefault="00B80B84" w:rsidP="00B80B84">
      <w:pPr>
        <w:jc w:val="both"/>
      </w:pPr>
      <w:r w:rsidRPr="00B80B84">
        <w:t xml:space="preserve">The gradient boosting framework provides native handling of missing values, a ubiquitous challenge in survey-based healthcare data where respondents frequently skip questions or provide incomplete information. Rather than requiring complete imputation before modeling, XGBoost learns optimal directions for missing value splits during tree construction, effectively treating missingness as informative rather than purely problematic. Built-in regularization mechanisms </w:t>
      </w:r>
      <w:proofErr w:type="gramStart"/>
      <w:r w:rsidRPr="00B80B84">
        <w:t>including</w:t>
      </w:r>
      <w:proofErr w:type="gramEnd"/>
      <w:r w:rsidRPr="00B80B84">
        <w:t xml:space="preserve"> </w:t>
      </w:r>
      <w:proofErr w:type="gramStart"/>
      <w:r w:rsidRPr="00B80B84">
        <w:t>tree</w:t>
      </w:r>
      <w:proofErr w:type="gramEnd"/>
      <w:r w:rsidRPr="00B80B84">
        <w:t xml:space="preserve"> depth limits, minimum child weights, and L1/L2 penalties prevent overfitting despite the high dimensionality of the engineered feature space. These regularization controls prove essential when training on datasets exceeding 400,000 patient records, where model capacity could easily memorize training patterns </w:t>
      </w:r>
      <w:r w:rsidRPr="00B80B84">
        <w:lastRenderedPageBreak/>
        <w:t>rather than learning generalizable risk relationships.</w:t>
      </w:r>
    </w:p>
    <w:p w14:paraId="40F13334" w14:textId="77777777" w:rsidR="00B80B84" w:rsidRPr="00B80B84" w:rsidRDefault="00B80B84" w:rsidP="00B80B84">
      <w:pPr>
        <w:jc w:val="both"/>
      </w:pPr>
      <w:r w:rsidRPr="00B80B84">
        <w:t xml:space="preserve">The system's feature importance quantification leverages both gain-based measures inherent to tree-based models and SHAP value analysis. Gain metrics measure the average reduction in prediction error when splitting on </w:t>
      </w:r>
      <w:proofErr w:type="gramStart"/>
      <w:r w:rsidRPr="00B80B84">
        <w:t>particular features</w:t>
      </w:r>
      <w:proofErr w:type="gramEnd"/>
      <w:r w:rsidRPr="00B80B84">
        <w:t>, aggregated across all trees in the ensemble. This provides a global view of feature utility but lacks directionality—high gain indicates predictive value but not whether higher feature values increase or decrease risk. SHAP analysis complements this by decomposing individual predictions into additive feature contributions, enabling both global importance rankings and patient-specific explanations of why particular risk scores were assigned.</w:t>
      </w:r>
    </w:p>
    <w:p w14:paraId="0046315A" w14:textId="77777777" w:rsidR="00B80B84" w:rsidRPr="00B80B84" w:rsidRDefault="00B80B84" w:rsidP="00B80B84">
      <w:pPr>
        <w:jc w:val="both"/>
      </w:pPr>
      <w:r w:rsidRPr="00B80B84">
        <w:t xml:space="preserve">However, the Binary Relevance approach carries inherent limitations that merit acknowledgment. By treating diseases as independent prediction targets, the architecture explicitly ignores label correlations—the statistical dependencies between disease outcomes that reflect underlying physiological connections. Metabolic syndrome exemplifies this limitation: patients with Type 2 Diabetes face substantially elevated risks for both </w:t>
      </w:r>
      <w:proofErr w:type="gramStart"/>
      <w:r w:rsidRPr="00B80B84">
        <w:t>Chronic Kidney Disease</w:t>
      </w:r>
      <w:proofErr w:type="gramEnd"/>
      <w:r w:rsidRPr="00B80B84">
        <w:t xml:space="preserve"> and Coronary Artery Disease through shared pathophysiological mechanisms. Independent models trained without knowledge of these correlations may produce internally inconsistent risk profiles where predicted probabilities fail to reflect established comorbidity patterns. Alternative architectures like Classifier Chains or multi-task neural networks could capture these dependencies but sacrifice interpretability and introduce architectural complexity that complicates clinical validation and deployment.</w:t>
      </w:r>
    </w:p>
    <w:p w14:paraId="1FE00CE9" w14:textId="77777777" w:rsidR="00B80B84" w:rsidRDefault="00B80B84" w:rsidP="00B80B84">
      <w:pPr>
        <w:jc w:val="both"/>
        <w:rPr>
          <w:color w:val="1F1F1F"/>
        </w:rPr>
      </w:pPr>
      <w:r w:rsidRPr="00B80B84">
        <w:t xml:space="preserve">The optimal hyperparameter configuration identified through systematic grid search balances model expressiveness against generalization capability. A learning rate of 0.1 provides stable convergence without excessive training time, while maximum tree depth of 6 permits adequate complexity for capturing feature interactions without enabling memorization of idiosyncratic training patterns. The ensemble size of 200 trees achieves performance saturation—additional boosting rounds yield diminishing returns while increasing inference latency. Stochastic sampling parameters including subsample ratio of 0.7 and </w:t>
      </w:r>
      <w:r w:rsidRPr="00B80B84">
        <w:t>column sampling of 0.8 introduce controlled randomness that improves ensemble diversity and reduces overfitting through bagging-like variance reduction. Regularization parameters apply modest L1 penalty (alpha=0.01) for mild feature selection pressure and stronger L2 penalty (lambda=1) for weight shrinkage, collectively constraining model capacity to learn robust rather than fragile patterns</w:t>
      </w:r>
      <w:r w:rsidRPr="00B80B84">
        <w:rPr>
          <w:color w:val="1F1F1F"/>
        </w:rPr>
        <w:t>.</w:t>
      </w:r>
    </w:p>
    <w:p w14:paraId="01A6B8E6" w14:textId="77777777" w:rsidR="00B80B84" w:rsidRDefault="00B80B84" w:rsidP="00B80B84">
      <w:pPr>
        <w:jc w:val="both"/>
        <w:rPr>
          <w:color w:val="1F1F1F"/>
        </w:rPr>
      </w:pPr>
    </w:p>
    <w:p w14:paraId="259058BC" w14:textId="64E6EC7A" w:rsidR="00B80B84" w:rsidRDefault="00B80B84" w:rsidP="00B80B84">
      <w:pPr>
        <w:pStyle w:val="ListParagraph"/>
        <w:numPr>
          <w:ilvl w:val="0"/>
          <w:numId w:val="31"/>
        </w:numPr>
        <w:ind w:left="284" w:hanging="142"/>
        <w:rPr>
          <w:color w:val="1F1F1F"/>
        </w:rPr>
      </w:pPr>
      <w:r w:rsidRPr="00B80B84">
        <w:rPr>
          <w:color w:val="1F1F1F"/>
        </w:rPr>
        <w:t>Alternative Modeling Approaches and Comparative Analysis</w:t>
      </w:r>
    </w:p>
    <w:p w14:paraId="336803E0" w14:textId="77777777" w:rsidR="00B80B84" w:rsidRPr="00B80B84" w:rsidRDefault="00B80B84" w:rsidP="007539FB">
      <w:pPr>
        <w:jc w:val="both"/>
        <w:rPr>
          <w:color w:val="1F1F1F"/>
        </w:rPr>
      </w:pPr>
      <w:r w:rsidRPr="00B80B84">
        <w:rPr>
          <w:color w:val="1F1F1F"/>
        </w:rPr>
        <w:t>The comprehensive modeling framework incorporates experimental evaluation of alternative machine learning architectures to validate the selected gradient boosting approach. These comparative analyses assess whether different algorithmic paradigms offer superior performance, improved calibration, or enhanced interpretability for specific disease categories.</w:t>
      </w:r>
    </w:p>
    <w:p w14:paraId="38696BBC" w14:textId="77777777" w:rsidR="00B80B84" w:rsidRPr="00B80B84" w:rsidRDefault="00B80B84" w:rsidP="007539FB">
      <w:pPr>
        <w:jc w:val="both"/>
        <w:rPr>
          <w:color w:val="1F1F1F"/>
        </w:rPr>
      </w:pPr>
      <w:r w:rsidRPr="00B80B84">
        <w:rPr>
          <w:color w:val="1F1F1F"/>
        </w:rPr>
        <w:t>Logistic regression serves as the simplest baseline, applying linear decision boundaries to the engineered feature space. Despite its mathematical simplicity, regularized logistic regression demonstrates respectable discriminative ability for conditions with primarily additive risk factors. The model's interpretable coefficients enable straightforward clinical communication—each unit increase in a standardized feature contributes a specific log-odds increment to disease risk. However, the strict linearity assumption proves overly restrictive for capturing interaction effects and threshold phenomena characteristic of chronic disease development. Cardiovascular risk does not increase linearly with age but rather accelerates after certain critical thresholds, a pattern that logistic regression cannot represent without explicit interaction terms.</w:t>
      </w:r>
    </w:p>
    <w:p w14:paraId="3F56F073" w14:textId="77777777" w:rsidR="00B80B84" w:rsidRPr="00B80B84" w:rsidRDefault="00B80B84" w:rsidP="007539FB">
      <w:pPr>
        <w:jc w:val="both"/>
        <w:rPr>
          <w:color w:val="1F1F1F"/>
        </w:rPr>
      </w:pPr>
      <w:r w:rsidRPr="00B80B84">
        <w:rPr>
          <w:color w:val="1F1F1F"/>
        </w:rPr>
        <w:t xml:space="preserve">Random forests provide an alternative ensemble approach that aggregates predictions across numerous independently trained decision trees. Each tree observes a bootstrap sample of training data and considers random feature subsets at each split, introducing diversity that reduces variance when predictions are averaged. Random forests naturally handle non-linear relationships and feature interactions while providing variable importance measures through permutation testing. The algorithm demonstrates robust performance across diverse datasets with minimal hyperparameter </w:t>
      </w:r>
      <w:r w:rsidRPr="00B80B84">
        <w:rPr>
          <w:color w:val="1F1F1F"/>
        </w:rPr>
        <w:lastRenderedPageBreak/>
        <w:t>tuning required. However, the independence assumption underlying bootstrap aggregation means random forests lack the directed error correction mechanism of gradient boosting, typically yielding slightly lower discriminative performance. Additionally, the large ensemble size required for optimal performance—often 500+ trees—increases memory requirements and inference latency compared to gradient boosting's more compact representations.</w:t>
      </w:r>
    </w:p>
    <w:p w14:paraId="05534DDD" w14:textId="77777777" w:rsidR="00B80B84" w:rsidRPr="00B80B84" w:rsidRDefault="00B80B84" w:rsidP="007539FB">
      <w:pPr>
        <w:jc w:val="both"/>
        <w:rPr>
          <w:color w:val="1F1F1F"/>
        </w:rPr>
      </w:pPr>
      <w:proofErr w:type="spellStart"/>
      <w:r w:rsidRPr="00B80B84">
        <w:rPr>
          <w:color w:val="1F1F1F"/>
        </w:rPr>
        <w:t>LightGBM</w:t>
      </w:r>
      <w:proofErr w:type="spellEnd"/>
      <w:r w:rsidRPr="00B80B84">
        <w:rPr>
          <w:color w:val="1F1F1F"/>
        </w:rPr>
        <w:t xml:space="preserve"> and </w:t>
      </w:r>
      <w:proofErr w:type="spellStart"/>
      <w:r w:rsidRPr="00B80B84">
        <w:rPr>
          <w:color w:val="1F1F1F"/>
        </w:rPr>
        <w:t>CatBoost</w:t>
      </w:r>
      <w:proofErr w:type="spellEnd"/>
      <w:r w:rsidRPr="00B80B84">
        <w:rPr>
          <w:color w:val="1F1F1F"/>
        </w:rPr>
        <w:t xml:space="preserve"> represent gradient boosting variants optimizing different aspects of the training process. </w:t>
      </w:r>
      <w:proofErr w:type="spellStart"/>
      <w:r w:rsidRPr="00B80B84">
        <w:rPr>
          <w:color w:val="1F1F1F"/>
        </w:rPr>
        <w:t>LightGBM</w:t>
      </w:r>
      <w:proofErr w:type="spellEnd"/>
      <w:r w:rsidRPr="00B80B84">
        <w:rPr>
          <w:color w:val="1F1F1F"/>
        </w:rPr>
        <w:t xml:space="preserve"> employs histogram-based tree construction that bins continuous features into discrete intervals, dramatically accelerating training on large datasets through reduced computational complexity. The algorithm grows </w:t>
      </w:r>
      <w:proofErr w:type="gramStart"/>
      <w:r w:rsidRPr="00B80B84">
        <w:rPr>
          <w:color w:val="1F1F1F"/>
        </w:rPr>
        <w:t>trees</w:t>
      </w:r>
      <w:proofErr w:type="gramEnd"/>
      <w:r w:rsidRPr="00B80B84">
        <w:rPr>
          <w:color w:val="1F1F1F"/>
        </w:rPr>
        <w:t xml:space="preserve"> leaf-wise rather than depth-wise, potentially achieving better loss reduction with fewer nodes but risking overfitting on small datasets. </w:t>
      </w:r>
      <w:proofErr w:type="spellStart"/>
      <w:r w:rsidRPr="00B80B84">
        <w:rPr>
          <w:color w:val="1F1F1F"/>
        </w:rPr>
        <w:t>CatBoost</w:t>
      </w:r>
      <w:proofErr w:type="spellEnd"/>
      <w:r w:rsidRPr="00B80B84">
        <w:rPr>
          <w:color w:val="1F1F1F"/>
        </w:rPr>
        <w:t xml:space="preserve"> introduces ordered boosting to reduce prediction shift—the phenomenon where gradient estimates become biased when calculated using the same data points being predicted. The algorithm also provides native categorical feature handling through target </w:t>
      </w:r>
      <w:proofErr w:type="gramStart"/>
      <w:r w:rsidRPr="00B80B84">
        <w:rPr>
          <w:color w:val="1F1F1F"/>
        </w:rPr>
        <w:t>statistics</w:t>
      </w:r>
      <w:proofErr w:type="gramEnd"/>
      <w:r w:rsidRPr="00B80B84">
        <w:rPr>
          <w:color w:val="1F1F1F"/>
        </w:rPr>
        <w:t xml:space="preserve"> </w:t>
      </w:r>
      <w:proofErr w:type="gramStart"/>
      <w:r w:rsidRPr="00B80B84">
        <w:rPr>
          <w:color w:val="1F1F1F"/>
        </w:rPr>
        <w:t>encoding with</w:t>
      </w:r>
      <w:proofErr w:type="gramEnd"/>
      <w:r w:rsidRPr="00B80B84">
        <w:rPr>
          <w:color w:val="1F1F1F"/>
        </w:rPr>
        <w:t xml:space="preserve"> </w:t>
      </w:r>
      <w:proofErr w:type="gramStart"/>
      <w:r w:rsidRPr="00B80B84">
        <w:rPr>
          <w:color w:val="1F1F1F"/>
        </w:rPr>
        <w:t>smoothing,</w:t>
      </w:r>
      <w:proofErr w:type="gramEnd"/>
      <w:r w:rsidRPr="00B80B84">
        <w:rPr>
          <w:color w:val="1F1F1F"/>
        </w:rPr>
        <w:t xml:space="preserve"> eliminating manual preprocessing. Comparative evaluation across the twelve disease targets reveals marginal performance differences between gradient boosting variants, with XGBoost selected for final deployment based on its mature ecosystem, extensive documentation, and proven reliability in production healthcare applications.</w:t>
      </w:r>
    </w:p>
    <w:p w14:paraId="4386E845" w14:textId="67DEC1D8" w:rsidR="00B80B84" w:rsidRDefault="00B80B84" w:rsidP="007539FB">
      <w:pPr>
        <w:jc w:val="both"/>
        <w:rPr>
          <w:color w:val="1F1F1F"/>
        </w:rPr>
      </w:pPr>
      <w:r w:rsidRPr="00B80B84">
        <w:rPr>
          <w:color w:val="1F1F1F"/>
        </w:rPr>
        <w:t xml:space="preserve">Neural network architectures including multi-layer </w:t>
      </w:r>
      <w:proofErr w:type="spellStart"/>
      <w:r w:rsidRPr="00B80B84">
        <w:rPr>
          <w:color w:val="1F1F1F"/>
        </w:rPr>
        <w:t>perceptrons</w:t>
      </w:r>
      <w:proofErr w:type="spellEnd"/>
      <w:r w:rsidRPr="00B80B84">
        <w:rPr>
          <w:color w:val="1F1F1F"/>
        </w:rPr>
        <w:t xml:space="preserve"> receive experimental evaluation despite their "black box" reputation. A three-layer feedforward network with </w:t>
      </w:r>
      <w:proofErr w:type="spellStart"/>
      <w:r w:rsidRPr="00B80B84">
        <w:rPr>
          <w:color w:val="1F1F1F"/>
        </w:rPr>
        <w:t>ReLU</w:t>
      </w:r>
      <w:proofErr w:type="spellEnd"/>
      <w:r w:rsidRPr="00B80B84">
        <w:rPr>
          <w:color w:val="1F1F1F"/>
        </w:rPr>
        <w:t xml:space="preserve"> activations and dropout regularization demonstrates competitive discriminative performance when </w:t>
      </w:r>
      <w:proofErr w:type="gramStart"/>
      <w:r w:rsidRPr="00B80B84">
        <w:rPr>
          <w:color w:val="1F1F1F"/>
        </w:rPr>
        <w:t>provided</w:t>
      </w:r>
      <w:proofErr w:type="gramEnd"/>
      <w:r w:rsidRPr="00B80B84">
        <w:rPr>
          <w:color w:val="1F1F1F"/>
        </w:rPr>
        <w:t xml:space="preserve"> adequate training data. The continuous activation functions enable smooth decision boundaries and automatic feature engineering through hidden layer representations. However, neural networks require substantially more training data to avoid overfitting compared to tree-based methods, exhibit sensitivity to initialization and optimization hyperparameters, and resist interpretability efforts despite various post-hoc explanation techniques. For tabular healthcare data with hundreds of thousands of </w:t>
      </w:r>
      <w:r w:rsidRPr="00B80B84">
        <w:rPr>
          <w:color w:val="1F1F1F"/>
        </w:rPr>
        <w:t>records rather than millions, gradient boosting methods consistently outperform neural approaches while offering superior interpretability.</w:t>
      </w:r>
    </w:p>
    <w:p w14:paraId="33357DFE" w14:textId="77777777" w:rsidR="00B80B84" w:rsidRDefault="00B80B84" w:rsidP="00B80B84">
      <w:pPr>
        <w:rPr>
          <w:color w:val="1F1F1F"/>
        </w:rPr>
      </w:pPr>
    </w:p>
    <w:p w14:paraId="0A85679C" w14:textId="372E7A32" w:rsidR="007539FB" w:rsidRPr="00B80B84" w:rsidRDefault="007539FB" w:rsidP="00B80B84">
      <w:pPr>
        <w:rPr>
          <w:color w:val="1F1F1F"/>
        </w:rPr>
      </w:pPr>
      <w:r>
        <w:rPr>
          <w:color w:val="1F1F1F"/>
        </w:rPr>
        <w:t xml:space="preserve">3.2 </w:t>
      </w:r>
      <w:r w:rsidR="00B80B84" w:rsidRPr="00B80B84">
        <w:rPr>
          <w:color w:val="1F1F1F"/>
        </w:rPr>
        <w:t>Feature Engineering and Domain Aggregation</w:t>
      </w:r>
    </w:p>
    <w:p w14:paraId="23480731" w14:textId="74583949" w:rsidR="00B80B84" w:rsidRDefault="00B80B84" w:rsidP="00B80B84">
      <w:pPr>
        <w:pStyle w:val="ListParagraph"/>
        <w:numPr>
          <w:ilvl w:val="0"/>
          <w:numId w:val="33"/>
        </w:numPr>
        <w:spacing w:before="240" w:after="240"/>
        <w:ind w:left="284" w:right="231" w:hanging="142"/>
        <w:rPr>
          <w:color w:val="1F1F1F"/>
        </w:rPr>
      </w:pPr>
      <w:r w:rsidRPr="00B80B84">
        <w:rPr>
          <w:color w:val="1F1F1F"/>
        </w:rPr>
        <w:t>Clinical Biomarker Aggregations</w:t>
      </w:r>
    </w:p>
    <w:p w14:paraId="5D5560FF" w14:textId="77777777" w:rsidR="00B80B84" w:rsidRPr="00B80B84" w:rsidRDefault="00B80B84" w:rsidP="007539FB">
      <w:pPr>
        <w:spacing w:before="240" w:after="240"/>
        <w:ind w:right="231"/>
        <w:jc w:val="both"/>
        <w:rPr>
          <w:color w:val="1F1F1F"/>
        </w:rPr>
      </w:pPr>
      <w:r w:rsidRPr="00B80B84">
        <w:rPr>
          <w:color w:val="1F1F1F"/>
        </w:rPr>
        <w:t>Feature engineering represents the critical bridge between raw survey data and clinically meaningful predictive models. The transformation process synthesizes domain knowledge from cardiovascular medicine, endocrinology, nephrology, and neurology into mathematical representations that machine learning algorithms can leverage. Clinical biomarker aggregations compute average values for key physiological measurements, reducing noise from single-time-point variability.</w:t>
      </w:r>
    </w:p>
    <w:p w14:paraId="2F76FD5D" w14:textId="77777777" w:rsidR="00B80B84" w:rsidRPr="00B80B84" w:rsidRDefault="00B80B84" w:rsidP="007539FB">
      <w:pPr>
        <w:spacing w:before="240" w:after="240"/>
        <w:ind w:right="231"/>
        <w:jc w:val="both"/>
        <w:rPr>
          <w:color w:val="1F1F1F"/>
        </w:rPr>
      </w:pPr>
      <w:r w:rsidRPr="00B80B84">
        <w:rPr>
          <w:color w:val="1F1F1F"/>
        </w:rPr>
        <w:t xml:space="preserve">Glycemic control features including </w:t>
      </w:r>
      <w:proofErr w:type="gramStart"/>
      <w:r w:rsidRPr="00B80B84">
        <w:rPr>
          <w:color w:val="1F1F1F"/>
        </w:rPr>
        <w:t>averaged</w:t>
      </w:r>
      <w:proofErr w:type="gramEnd"/>
      <w:r w:rsidRPr="00B80B84">
        <w:rPr>
          <w:color w:val="1F1F1F"/>
        </w:rPr>
        <w:t xml:space="preserve"> hemoglobin A1C and fasting glucose values provide stable indicators of long-term blood sugar management. Single glucose measurements exhibit substantial intra-individual variation depending on recent meals, stress, and medication timing, potentially misrepresenting true metabolic status. Averaging across multiple measurements when available yields more reliable risk assessment. The A1C measurement specifically reflects average glucose exposure over the preceding three months through glycation of hemoglobin molecules, providing an inherently time-averaged view. These glycemic indicators serve as primary predictors for Type 2 Diabetes risk but also contribute significantly to Chronic Kidney Disease, Coronary Artery Disease, and Stroke predictions through their representation of metabolic dysfunction.</w:t>
      </w:r>
    </w:p>
    <w:p w14:paraId="02E2B3C1" w14:textId="77777777" w:rsidR="00B80B84" w:rsidRPr="00B80B84" w:rsidRDefault="00B80B84" w:rsidP="007539FB">
      <w:pPr>
        <w:spacing w:before="240" w:after="240"/>
        <w:ind w:right="231"/>
        <w:jc w:val="both"/>
        <w:rPr>
          <w:color w:val="1F1F1F"/>
        </w:rPr>
      </w:pPr>
      <w:r w:rsidRPr="00B80B84">
        <w:rPr>
          <w:color w:val="1F1F1F"/>
        </w:rPr>
        <w:t xml:space="preserve">Lipid profile features aggregate measures of cholesterol subtypes and triglycerides. Low-density lipoprotein (LDL) cholesterol represents the primary atherogenic fraction that accumulates in arterial walls, driving atherosclerotic plaque formation underlying cardiovascular diseases. High-density lipoprotein (HDL) cholesterol provides cardioprotective effects through reverse cholesterol transport, with low HDL levels indicating impaired lipid clearance. Triglycerides </w:t>
      </w:r>
      <w:r w:rsidRPr="00B80B84">
        <w:rPr>
          <w:color w:val="1F1F1F"/>
        </w:rPr>
        <w:lastRenderedPageBreak/>
        <w:t>reflect both dietary fat intake and hepatic lipid synthesis, with elevated levels promoting insulin resistance and pancreatitis risk. The system computes averaged values for each lipid fraction when multiple measurements exist, then constructs ratio features like LDL/HDL capturing relative lipid balance rather than absolute concentrations alone.</w:t>
      </w:r>
    </w:p>
    <w:p w14:paraId="4E1693DB" w14:textId="77777777" w:rsidR="00B80B84" w:rsidRPr="00B80B84" w:rsidRDefault="00B80B84" w:rsidP="007539FB">
      <w:pPr>
        <w:spacing w:before="240" w:after="240"/>
        <w:ind w:right="231"/>
        <w:jc w:val="both"/>
        <w:rPr>
          <w:color w:val="1F1F1F"/>
        </w:rPr>
      </w:pPr>
      <w:r w:rsidRPr="00B80B84">
        <w:rPr>
          <w:color w:val="1F1F1F"/>
        </w:rPr>
        <w:t xml:space="preserve">Kidney function assessment utilizes the albumin-to-creatinine ratio (ACR), a sensitive early marker of glomerular damage. Healthy kidneys prevent albumin leakage into urine through selective filtration barriers, while kidney injury compromises this selectivity causing measurable albuminuria before traditional kidney function tests deteriorate. The creatinine denominator normalizes for urine concentration, enabling comparison across samples collected under different hydration states. Averaged ACR values stratify patients into normal, microalbuminuria, and macroalbuminuria categories corresponding to progressive kidney damage stages, directly informing </w:t>
      </w:r>
      <w:proofErr w:type="gramStart"/>
      <w:r w:rsidRPr="00B80B84">
        <w:rPr>
          <w:color w:val="1F1F1F"/>
        </w:rPr>
        <w:t>Chronic Kidney Disease</w:t>
      </w:r>
      <w:proofErr w:type="gramEnd"/>
      <w:r w:rsidRPr="00B80B84">
        <w:rPr>
          <w:color w:val="1F1F1F"/>
        </w:rPr>
        <w:t xml:space="preserve"> predictions while also contributing to cardiovascular models through kidney-heart interaction pathways.</w:t>
      </w:r>
    </w:p>
    <w:p w14:paraId="2EF58580" w14:textId="533320DC" w:rsidR="00B80B84" w:rsidRDefault="00B80B84" w:rsidP="007539FB">
      <w:pPr>
        <w:spacing w:before="240" w:after="240"/>
        <w:ind w:right="231"/>
        <w:jc w:val="both"/>
        <w:rPr>
          <w:color w:val="1F1F1F"/>
        </w:rPr>
      </w:pPr>
      <w:r w:rsidRPr="00B80B84">
        <w:rPr>
          <w:color w:val="1F1F1F"/>
        </w:rPr>
        <w:t>Anthropometric measures including body mass index require careful handling to avoid introducing leakage. BMI itself cannot serve as a predictor for obesity without creating circular reasoning—the definition of obesity relies on BMI thresholds, making the feature essentially identical to the target. However, BMI contributes legitimately to predictions of other diseases where it represents an independent risk factor rather than a definitional criterion. The system includes BMI in models for diabetes, cardiovascular diseases, and kidney disease while excluding it from obesity-specific predictions.</w:t>
      </w:r>
    </w:p>
    <w:p w14:paraId="3C259A28" w14:textId="0A96F5E0" w:rsidR="00B80B84" w:rsidRDefault="00B80B84" w:rsidP="00B80B84">
      <w:pPr>
        <w:pStyle w:val="ListParagraph"/>
        <w:numPr>
          <w:ilvl w:val="0"/>
          <w:numId w:val="33"/>
        </w:numPr>
        <w:spacing w:before="240" w:after="240"/>
        <w:ind w:left="284" w:right="231" w:hanging="142"/>
        <w:rPr>
          <w:color w:val="1F1F1F"/>
          <w:lang w:val="en"/>
        </w:rPr>
      </w:pPr>
      <w:r w:rsidRPr="00B80B84">
        <w:rPr>
          <w:color w:val="1F1F1F"/>
          <w:lang w:val="en"/>
        </w:rPr>
        <w:t>Temporal Trend Features and Disease Trajectories</w:t>
      </w:r>
    </w:p>
    <w:p w14:paraId="094D4BB1" w14:textId="77777777" w:rsidR="00B80B84" w:rsidRPr="00B80B84" w:rsidRDefault="00B80B84" w:rsidP="007539FB">
      <w:pPr>
        <w:spacing w:before="240" w:after="240"/>
        <w:ind w:right="231"/>
        <w:jc w:val="both"/>
        <w:rPr>
          <w:color w:val="1F1F1F"/>
          <w:lang w:val="en"/>
        </w:rPr>
      </w:pPr>
      <w:r w:rsidRPr="00B80B84">
        <w:rPr>
          <w:color w:val="1F1F1F"/>
          <w:lang w:val="en"/>
        </w:rPr>
        <w:t xml:space="preserve">Static measurements provide snapshots of current health status but fail to capture dynamic disease progression patterns. Temporal trend features quantify rates of change in key biomarkers, revealing trajectories toward or away from disease states. A patient with hemoglobin A1C of </w:t>
      </w:r>
      <w:proofErr w:type="gramStart"/>
      <w:r w:rsidRPr="00B80B84">
        <w:rPr>
          <w:color w:val="1F1F1F"/>
          <w:lang w:val="en"/>
        </w:rPr>
        <w:t>6.2%—</w:t>
      </w:r>
      <w:proofErr w:type="gramEnd"/>
      <w:r w:rsidRPr="00B80B84">
        <w:rPr>
          <w:color w:val="1F1F1F"/>
          <w:lang w:val="en"/>
        </w:rPr>
        <w:t>just below the 6.5% diagnostic threshold for diabetes—faces vastly different future risks depending on whether this value represents improvement from previous 7.5% readings versus deterioration from prior 5.8% levels.</w:t>
      </w:r>
    </w:p>
    <w:p w14:paraId="755D8D14" w14:textId="77777777" w:rsidR="00B80B84" w:rsidRPr="00B80B84" w:rsidRDefault="00B80B84" w:rsidP="007539FB">
      <w:pPr>
        <w:spacing w:before="240" w:after="240"/>
        <w:ind w:right="231"/>
        <w:jc w:val="both"/>
        <w:rPr>
          <w:color w:val="1F1F1F"/>
          <w:lang w:val="en"/>
        </w:rPr>
      </w:pPr>
      <w:r w:rsidRPr="00B80B84">
        <w:rPr>
          <w:color w:val="1F1F1F"/>
          <w:lang w:val="en"/>
        </w:rPr>
        <w:t xml:space="preserve">A1C trend features </w:t>
      </w:r>
      <w:proofErr w:type="gramStart"/>
      <w:r w:rsidRPr="00B80B84">
        <w:rPr>
          <w:color w:val="1F1F1F"/>
          <w:lang w:val="en"/>
        </w:rPr>
        <w:t>compute</w:t>
      </w:r>
      <w:proofErr w:type="gramEnd"/>
      <w:r w:rsidRPr="00B80B84">
        <w:rPr>
          <w:color w:val="1F1F1F"/>
          <w:lang w:val="en"/>
        </w:rPr>
        <w:t xml:space="preserve"> the slope of longitudinal A1C measurements when multiple time points exist in patient records. Positive slopes indicating rising glycemic burden predict diabetes onset and complication development independent of current absolute values. These trend features prove particularly valuable for identifying pre-diabetic individuals likely to progress to overt diabetes despite currently subthreshold glucose levels. The feature engineering process fits linear regression models to available A1C time series for each patient, extracting the slope coefficient as the trend feature. Patients lacking multiple measurements receive trend values imputed from their current A1C level and demographic characteristics through K-nearest neighbor approaches.</w:t>
      </w:r>
    </w:p>
    <w:p w14:paraId="20FA38EB" w14:textId="77777777" w:rsidR="00B80B84" w:rsidRPr="00B80B84" w:rsidRDefault="00B80B84" w:rsidP="007539FB">
      <w:pPr>
        <w:spacing w:before="240" w:after="240"/>
        <w:ind w:right="231"/>
        <w:jc w:val="both"/>
        <w:rPr>
          <w:color w:val="1F1F1F"/>
          <w:lang w:val="en"/>
        </w:rPr>
      </w:pPr>
      <w:r w:rsidRPr="00B80B84">
        <w:rPr>
          <w:color w:val="1F1F1F"/>
          <w:lang w:val="en"/>
        </w:rPr>
        <w:t>Body mass index trends capture weight gain or loss trajectories. Progressive weight gain signals metabolic dysregulation and escalating cardiovascular risk even when current BMI remains within normal ranges. Conversely, intentional weight loss through lifestyle modification reduces disease risks substantially, a pattern that BMI trends encode while static BMI values miss. The system computes BMI slopes from available height and weight measurements across survey cycles, distinguishing gradual age-related weight changes from rapid fluctuations suggesting metabolic instability.</w:t>
      </w:r>
    </w:p>
    <w:p w14:paraId="3A666491" w14:textId="77777777" w:rsidR="00B80B84" w:rsidRPr="00B80B84" w:rsidRDefault="00B80B84" w:rsidP="007539FB">
      <w:pPr>
        <w:spacing w:before="240" w:after="240"/>
        <w:ind w:right="231"/>
        <w:jc w:val="both"/>
        <w:rPr>
          <w:color w:val="1F1F1F"/>
          <w:lang w:val="en"/>
        </w:rPr>
      </w:pPr>
      <w:r w:rsidRPr="00B80B84">
        <w:rPr>
          <w:color w:val="1F1F1F"/>
          <w:lang w:val="en"/>
        </w:rPr>
        <w:t xml:space="preserve">Cognitive function trajectories utilize Mini-Mental State Examination (MMSE) scores when available in survey data. The MMSE assesses orientation, memory, attention, language, and visuospatial abilities through standardized testing, providing numerical scores indicating cognitive status. Static MMSE scores correlate with current dementia presence, but rate of decline—the temporal derivative—predicts future Alzheimer's Disease and Vascular Dementia risk more powerfully. Accelerating cognitive decline </w:t>
      </w:r>
      <w:proofErr w:type="gramStart"/>
      <w:r w:rsidRPr="00B80B84">
        <w:rPr>
          <w:color w:val="1F1F1F"/>
          <w:lang w:val="en"/>
        </w:rPr>
        <w:t>distinguished</w:t>
      </w:r>
      <w:proofErr w:type="gramEnd"/>
      <w:r w:rsidRPr="00B80B84">
        <w:rPr>
          <w:color w:val="1F1F1F"/>
          <w:lang w:val="en"/>
        </w:rPr>
        <w:t xml:space="preserve"> pathological neurodegenerative </w:t>
      </w:r>
      <w:r w:rsidRPr="00B80B84">
        <w:rPr>
          <w:color w:val="1F1F1F"/>
          <w:lang w:val="en"/>
        </w:rPr>
        <w:lastRenderedPageBreak/>
        <w:t>processes from normal aging. The feature engineering process computes MMSE decline rates for patients with multiple assessments, then constructs interaction terms combining decline rates with age to capture the elevated risk associated with early-onset rapid decline.</w:t>
      </w:r>
    </w:p>
    <w:p w14:paraId="04CFDDF7" w14:textId="052CD650" w:rsidR="00B80B84" w:rsidRDefault="00B80B84" w:rsidP="007539FB">
      <w:pPr>
        <w:spacing w:before="240" w:after="240"/>
        <w:ind w:right="231"/>
        <w:jc w:val="both"/>
        <w:rPr>
          <w:color w:val="1F1F1F"/>
          <w:lang w:val="en"/>
        </w:rPr>
      </w:pPr>
      <w:r w:rsidRPr="00B80B84">
        <w:rPr>
          <w:color w:val="1F1F1F"/>
          <w:lang w:val="en"/>
        </w:rPr>
        <w:t xml:space="preserve">Mental health </w:t>
      </w:r>
      <w:proofErr w:type="gramStart"/>
      <w:r w:rsidRPr="00B80B84">
        <w:rPr>
          <w:color w:val="1F1F1F"/>
          <w:lang w:val="en"/>
        </w:rPr>
        <w:t>trend</w:t>
      </w:r>
      <w:proofErr w:type="gramEnd"/>
      <w:r w:rsidRPr="00B80B84">
        <w:rPr>
          <w:color w:val="1F1F1F"/>
          <w:lang w:val="en"/>
        </w:rPr>
        <w:t xml:space="preserve"> features track changes in depression screening scores and self-reported mental health days. Major Depressive Disorder exhibits episodic patterns with periods of remission and recurrence, making current symptoms alone insufficient for risk stratification. Worsening mental health trends indicate elevated risk for future depressive episodes and suicide attempts, warranting early intervention. The system </w:t>
      </w:r>
      <w:proofErr w:type="gramStart"/>
      <w:r w:rsidRPr="00B80B84">
        <w:rPr>
          <w:color w:val="1F1F1F"/>
          <w:lang w:val="en"/>
        </w:rPr>
        <w:t>engineers</w:t>
      </w:r>
      <w:proofErr w:type="gramEnd"/>
      <w:r w:rsidRPr="00B80B84">
        <w:rPr>
          <w:color w:val="1F1F1F"/>
          <w:lang w:val="en"/>
        </w:rPr>
        <w:t xml:space="preserve"> features </w:t>
      </w:r>
      <w:proofErr w:type="gramStart"/>
      <w:r w:rsidRPr="00B80B84">
        <w:rPr>
          <w:color w:val="1F1F1F"/>
          <w:lang w:val="en"/>
        </w:rPr>
        <w:t>representing</w:t>
      </w:r>
      <w:proofErr w:type="gramEnd"/>
      <w:r w:rsidRPr="00B80B84">
        <w:rPr>
          <w:color w:val="1F1F1F"/>
          <w:lang w:val="en"/>
        </w:rPr>
        <w:t xml:space="preserve"> slope of mental health scores over time, flagging patients with deteriorating psychological well-being despite potentially subthreshold current symptoms.</w:t>
      </w:r>
    </w:p>
    <w:p w14:paraId="6F660D15" w14:textId="6D3DBB82" w:rsidR="00B80B84" w:rsidRDefault="00B80B84" w:rsidP="00B80B84">
      <w:pPr>
        <w:pStyle w:val="ListParagraph"/>
        <w:numPr>
          <w:ilvl w:val="0"/>
          <w:numId w:val="36"/>
        </w:numPr>
        <w:spacing w:before="240" w:after="240"/>
        <w:ind w:left="284" w:right="231" w:hanging="142"/>
        <w:rPr>
          <w:color w:val="1F1F1F"/>
          <w:lang w:val="en"/>
        </w:rPr>
      </w:pPr>
      <w:r w:rsidRPr="00B80B84">
        <w:rPr>
          <w:color w:val="1F1F1F"/>
          <w:lang w:val="en"/>
        </w:rPr>
        <w:t>Interaction Features and Synergistic Risk Patterns</w:t>
      </w:r>
    </w:p>
    <w:p w14:paraId="289A43E5" w14:textId="77777777" w:rsidR="00B80B84" w:rsidRPr="00B80B84" w:rsidRDefault="00B80B84" w:rsidP="007539FB">
      <w:pPr>
        <w:spacing w:before="240" w:after="240"/>
        <w:ind w:right="231"/>
        <w:jc w:val="both"/>
        <w:rPr>
          <w:color w:val="1F1F1F"/>
          <w:lang w:val="en"/>
        </w:rPr>
      </w:pPr>
      <w:r w:rsidRPr="00B80B84">
        <w:rPr>
          <w:color w:val="1F1F1F"/>
          <w:lang w:val="en"/>
        </w:rPr>
        <w:t>Biological systems exhibit complex interactions where combined effects of multiple risk factors exceed simple additive predictions. Interaction features capture synergistic relationships between age, metabolic markers, and cardiovascular risk factors, enabling models to learn multiplicative rather than purely additive disease risk functions.</w:t>
      </w:r>
    </w:p>
    <w:p w14:paraId="412B6C87" w14:textId="77777777" w:rsidR="00B80B84" w:rsidRPr="00B80B84" w:rsidRDefault="00B80B84" w:rsidP="007539FB">
      <w:pPr>
        <w:spacing w:before="240" w:after="240"/>
        <w:ind w:right="231"/>
        <w:jc w:val="both"/>
        <w:rPr>
          <w:color w:val="1F1F1F"/>
          <w:lang w:val="en"/>
        </w:rPr>
      </w:pPr>
      <w:r w:rsidRPr="00B80B84">
        <w:rPr>
          <w:color w:val="1F1F1F"/>
          <w:lang w:val="en"/>
        </w:rPr>
        <w:t xml:space="preserve">The age-A1C interaction term represents the principle that cardiovascular consequences of hyperglycemia intensify with advancing age. Younger individuals with elevated A1C face </w:t>
      </w:r>
      <w:proofErr w:type="gramStart"/>
      <w:r w:rsidRPr="00B80B84">
        <w:rPr>
          <w:color w:val="1F1F1F"/>
          <w:lang w:val="en"/>
        </w:rPr>
        <w:t>increased future</w:t>
      </w:r>
      <w:proofErr w:type="gramEnd"/>
      <w:r w:rsidRPr="00B80B84">
        <w:rPr>
          <w:color w:val="1F1F1F"/>
          <w:lang w:val="en"/>
        </w:rPr>
        <w:t xml:space="preserve"> cardiovascular risk, but older adults with identical A1C levels face exponentially higher immediate risk due to cumulative exposure duration and reduced physiological reserve. The multiplicative interaction term (AGE × A1C) enables models to learn these age-dependent glycemic risk patterns. Similar age-hypertension interactions capture how blood pressure effects </w:t>
      </w:r>
      <w:proofErr w:type="gramStart"/>
      <w:r w:rsidRPr="00B80B84">
        <w:rPr>
          <w:color w:val="1F1F1F"/>
          <w:lang w:val="en"/>
        </w:rPr>
        <w:t>on stroke</w:t>
      </w:r>
      <w:proofErr w:type="gramEnd"/>
      <w:r w:rsidRPr="00B80B84">
        <w:rPr>
          <w:color w:val="1F1F1F"/>
          <w:lang w:val="en"/>
        </w:rPr>
        <w:t xml:space="preserve"> and heart failure amplify dramatically after age 65 when arterial stiffness and cardiac compliance naturally decline.</w:t>
      </w:r>
    </w:p>
    <w:p w14:paraId="39EF43B2" w14:textId="77777777" w:rsidR="00B80B84" w:rsidRPr="00B80B84" w:rsidRDefault="00B80B84" w:rsidP="007539FB">
      <w:pPr>
        <w:spacing w:before="240" w:after="240"/>
        <w:ind w:right="231"/>
        <w:jc w:val="both"/>
        <w:rPr>
          <w:color w:val="1F1F1F"/>
          <w:lang w:val="en"/>
        </w:rPr>
      </w:pPr>
      <w:r w:rsidRPr="00B80B84">
        <w:rPr>
          <w:color w:val="1F1F1F"/>
          <w:lang w:val="en"/>
        </w:rPr>
        <w:t>BMI-A1C interactions encode metabolic syndrome patterns where obesity and hyperglycemia synergize to drive cardiovascular disease and kidney damage. The combination creates insulin resistance, chronic inflammation, dyslipidemia, and endothelial dysfunction through interconnected pathways that neither factor alone fully represents. The interaction term (BMI × A1C) provides a single feature capturing this joint metabolic dysregulation, enabling more compact and interpretable models compared to learning complex decision trees involving both features independently.</w:t>
      </w:r>
    </w:p>
    <w:p w14:paraId="2B04D689" w14:textId="77777777" w:rsidR="00B80B84" w:rsidRPr="00B80B84" w:rsidRDefault="00B80B84" w:rsidP="007539FB">
      <w:pPr>
        <w:spacing w:before="240" w:after="240"/>
        <w:ind w:right="231"/>
        <w:jc w:val="both"/>
        <w:rPr>
          <w:color w:val="1F1F1F"/>
          <w:lang w:val="en"/>
        </w:rPr>
      </w:pPr>
      <w:r w:rsidRPr="00B80B84">
        <w:rPr>
          <w:color w:val="1F1F1F"/>
          <w:lang w:val="en"/>
        </w:rPr>
        <w:t>BMI-lipid interactions similarly represent how obesity amplifies the atherogenic effects of elevated LDL cholesterol and reduced HDL cholesterol. Adipose tissue dysfunction in obesity promotes hepatic VLDL synthesis, impairs lipoprotein lipase activity, and enhances small dense LDL particle formation—qualitative lipid changes that BMI and cholesterol levels measured independently fail to capture. The multiplicative interaction term provides a summary representation of this complex lipid metabolic disturbance.</w:t>
      </w:r>
    </w:p>
    <w:p w14:paraId="011A9477" w14:textId="73A71B8F" w:rsidR="00B80B84" w:rsidRPr="00B80B84" w:rsidRDefault="00B80B84" w:rsidP="007539FB">
      <w:pPr>
        <w:spacing w:before="240" w:after="240"/>
        <w:ind w:right="231"/>
        <w:jc w:val="both"/>
        <w:rPr>
          <w:color w:val="1F1F1F"/>
          <w:lang w:val="en"/>
        </w:rPr>
      </w:pPr>
      <w:r w:rsidRPr="00B80B84">
        <w:rPr>
          <w:color w:val="1F1F1F"/>
          <w:lang w:val="en"/>
        </w:rPr>
        <w:t>Cognitive-age risk interactions acknowledge that identical MMSE scores carry different prognostic implications depending on patient age. A 70-year-old with MMSE of 26 (just below the 27 normal threshold) likely experiences normal aging, while a 55-year-old with the same score exhibits concerning early cognitive decline suggesting pathological processes. The interaction term (AGE × MMSE) enables models to automatically learn these age-conditional risk patterns without requiring explicit age-stratified thresholds.</w:t>
      </w:r>
    </w:p>
    <w:p w14:paraId="63A8B37D" w14:textId="13855C4E" w:rsidR="00B80B84" w:rsidRDefault="00B80B84" w:rsidP="00B80B84">
      <w:pPr>
        <w:pStyle w:val="ListParagraph"/>
        <w:numPr>
          <w:ilvl w:val="0"/>
          <w:numId w:val="36"/>
        </w:numPr>
        <w:spacing w:before="240" w:after="240"/>
        <w:ind w:left="284" w:right="231" w:hanging="142"/>
        <w:rPr>
          <w:color w:val="1F1F1F"/>
          <w:lang w:val="en"/>
        </w:rPr>
      </w:pPr>
      <w:r w:rsidRPr="00B80B84">
        <w:rPr>
          <w:color w:val="1F1F1F"/>
          <w:lang w:val="en"/>
        </w:rPr>
        <w:t>Composite Risk Indices and Holistic Health Metrics</w:t>
      </w:r>
    </w:p>
    <w:p w14:paraId="2100FEA5" w14:textId="77777777" w:rsidR="00B80B84" w:rsidRPr="00B80B84" w:rsidRDefault="00B80B84" w:rsidP="007539FB">
      <w:pPr>
        <w:spacing w:before="240" w:after="240"/>
        <w:ind w:right="231"/>
        <w:jc w:val="both"/>
        <w:rPr>
          <w:color w:val="1F1F1F"/>
          <w:lang w:val="en"/>
        </w:rPr>
      </w:pPr>
      <w:r w:rsidRPr="00B80B84">
        <w:rPr>
          <w:color w:val="1F1F1F"/>
          <w:lang w:val="en"/>
        </w:rPr>
        <w:t xml:space="preserve">Individual biomarkers and risk factors provide valuable predictive signals, but comprehensive health assessment requires integration across multiple domains. Composite risk indices synthesize information from multiple sources into unified scores representing overall patient vulnerability, enabling risk stratification that acknowledges systemic rather than organ-specific </w:t>
      </w:r>
      <w:r w:rsidRPr="00B80B84">
        <w:rPr>
          <w:color w:val="1F1F1F"/>
          <w:lang w:val="en"/>
        </w:rPr>
        <w:lastRenderedPageBreak/>
        <w:t>pathology.</w:t>
      </w:r>
    </w:p>
    <w:p w14:paraId="3E35C1F4" w14:textId="77777777" w:rsidR="00B80B84" w:rsidRPr="00B80B84" w:rsidRDefault="00B80B84" w:rsidP="007539FB">
      <w:pPr>
        <w:spacing w:before="240" w:after="240"/>
        <w:ind w:right="231"/>
        <w:jc w:val="both"/>
        <w:rPr>
          <w:color w:val="1F1F1F"/>
          <w:lang w:val="en"/>
        </w:rPr>
      </w:pPr>
      <w:r w:rsidRPr="00B80B84">
        <w:rPr>
          <w:color w:val="1F1F1F"/>
          <w:lang w:val="en"/>
        </w:rPr>
        <w:t xml:space="preserve">The Comorbidity Score quantifies cumulative disease burden by counting existing chronic conditions across all twelve target diseases. Each diagnosed condition increments the score, producing values ranging from 0 (healthy individuals without chronic disease) to 12 (patients with all target conditions). The score operationalizes the well-established medical principle that multimorbid patients face elevated risks for additional disease development through shared risk factors, physiological reserve depletion, and iatrogenic complications from polypharmacy. </w:t>
      </w:r>
      <w:proofErr w:type="gramStart"/>
      <w:r w:rsidRPr="00B80B84">
        <w:rPr>
          <w:color w:val="1F1F1F"/>
          <w:lang w:val="en"/>
        </w:rPr>
        <w:t>The</w:t>
      </w:r>
      <w:proofErr w:type="gramEnd"/>
      <w:r w:rsidRPr="00B80B84">
        <w:rPr>
          <w:color w:val="1F1F1F"/>
          <w:lang w:val="en"/>
        </w:rPr>
        <w:t xml:space="preserve"> feature serves as a powerful predictor across all disease models, capturing the reality that chronic diseases cluster within individuals rather than distributing randomly.</w:t>
      </w:r>
    </w:p>
    <w:p w14:paraId="2F5E8874" w14:textId="77777777" w:rsidR="00B80B84" w:rsidRPr="00B80B84" w:rsidRDefault="00B80B84" w:rsidP="007539FB">
      <w:pPr>
        <w:spacing w:before="240" w:after="240"/>
        <w:ind w:right="231"/>
        <w:jc w:val="both"/>
        <w:rPr>
          <w:color w:val="1F1F1F"/>
          <w:lang w:val="en"/>
        </w:rPr>
      </w:pPr>
      <w:r w:rsidRPr="00B80B84">
        <w:rPr>
          <w:color w:val="1F1F1F"/>
          <w:lang w:val="en"/>
        </w:rPr>
        <w:t>The Frailty Index provides a more nuanced measure of physiological vulnerability by aggregating deficits across multiple health dimensions including mobility impairments, sensory deficits, cognitive dysfunction, nutritional status, and social isolation. Unlike simple disease counts, the Frailty Index acknowledges that functional limitations and systemic dysregulation increase vulnerability even in the absence of formal diagnoses. The implementation follows established geriatric assessment frameworks, scoring deficits in activities of daily living, instrumental activities of daily living, fall history, self-rated health, and social support networks. The resulting continuous score from 0 to 1 stratifies patients by overall frailty level, with higher scores predicting mortality and adverse health outcomes independent of specific disease diagnoses.</w:t>
      </w:r>
    </w:p>
    <w:p w14:paraId="58A5A9AC" w14:textId="77777777" w:rsidR="00B80B84" w:rsidRPr="00B80B84" w:rsidRDefault="00B80B84" w:rsidP="007539FB">
      <w:pPr>
        <w:spacing w:before="240" w:after="240"/>
        <w:ind w:right="231"/>
        <w:jc w:val="both"/>
        <w:rPr>
          <w:color w:val="1F1F1F"/>
          <w:lang w:val="en"/>
        </w:rPr>
      </w:pPr>
      <w:r w:rsidRPr="00B80B84">
        <w:rPr>
          <w:color w:val="1F1F1F"/>
          <w:lang w:val="en"/>
        </w:rPr>
        <w:t xml:space="preserve">Categorical risk stratification groups transform continuous risk scores into clinically actionable categories. Health risk groups partition patients into low, moderate, and </w:t>
      </w:r>
      <w:proofErr w:type="gramStart"/>
      <w:r w:rsidRPr="00B80B84">
        <w:rPr>
          <w:color w:val="1F1F1F"/>
          <w:lang w:val="en"/>
        </w:rPr>
        <w:t>high risk</w:t>
      </w:r>
      <w:proofErr w:type="gramEnd"/>
      <w:r w:rsidRPr="00B80B84">
        <w:rPr>
          <w:color w:val="1F1F1F"/>
          <w:lang w:val="en"/>
        </w:rPr>
        <w:t xml:space="preserve"> strata based on composite scoring of biomarkers, lifestyle factors, and comorbidities. Age risk groups categorize patients as young adults, middle-aged, or elderly based on thresholds reflecting distinct disease risk profiles across life stages. BMI risk groups classify patients as underweight, normal weight, overweight, or obese according to standard </w:t>
      </w:r>
      <w:r w:rsidRPr="00B80B84">
        <w:rPr>
          <w:color w:val="1F1F1F"/>
          <w:lang w:val="en"/>
        </w:rPr>
        <w:t>clinical definitions. These categorical features enable clinical decision rules such as recommending intensive lifestyle interventions for high-risk groups while applying standard preventive care for low-risk populations.</w:t>
      </w:r>
    </w:p>
    <w:p w14:paraId="666B1C06" w14:textId="77777777" w:rsidR="00B80B84" w:rsidRPr="00B80B84" w:rsidRDefault="00B80B84" w:rsidP="007539FB">
      <w:pPr>
        <w:spacing w:before="240" w:after="240"/>
        <w:ind w:right="231"/>
        <w:jc w:val="both"/>
        <w:rPr>
          <w:color w:val="1F1F1F"/>
          <w:lang w:val="en"/>
        </w:rPr>
      </w:pPr>
      <w:r w:rsidRPr="00B80B84">
        <w:rPr>
          <w:color w:val="1F1F1F"/>
          <w:lang w:val="en"/>
        </w:rPr>
        <w:t>Domain-specific feature sets organize predictors according to the physiological systems they primarily represent. Neuro-cognitive features emphasize cognitive assessment scores, mental health indicators, vascular risk factors affecting cerebral perfusion, and social engagement measures relevant to brain health. Cardiovascular features prioritize blood pressure measurements, lipid profiles, inflammatory markers, cardiac biomarkers, and lifestyle factors including smoking and physical activity with established effects on heart and vascular function. Metabolic features focus on anthropometric measurements, glucose metabolism indicators, lipid metabolism markers, kidney function tests, and endocrine function measures. This domain-based organization reflects biological reality while enabling systematic evaluation of which physiological systems contribute most strongly to each disease outcome.</w:t>
      </w:r>
    </w:p>
    <w:p w14:paraId="7DDF95CB" w14:textId="361F0BA4" w:rsidR="00B80B84" w:rsidRDefault="00B80B84" w:rsidP="007539FB">
      <w:pPr>
        <w:spacing w:before="240" w:after="240"/>
        <w:ind w:right="231"/>
        <w:jc w:val="both"/>
        <w:rPr>
          <w:color w:val="1F1F1F"/>
          <w:lang w:val="en"/>
        </w:rPr>
      </w:pPr>
      <w:r w:rsidRPr="00B80B84">
        <w:rPr>
          <w:color w:val="1F1F1F"/>
          <w:lang w:val="en"/>
        </w:rPr>
        <w:t>The comprehensive feature engineering process transforms the raw 440,000-record BRFSS dataset containing heterogeneous survey responses into a refined 30-feature representation capturing clinical patterns essential for chronic disease prediction. Each engineered feature embeds domain knowledge from clinical medicine, translating medical concepts into mathematical forms that machine learning algorithms can leverage for risk stratification. This knowledge-driven approach distinguishes healthcare machine learning from generic data science applications, acknowledging that effective medical prediction requires integration of statistical learning with substantive clinical expertise.</w:t>
      </w:r>
    </w:p>
    <w:p w14:paraId="1C05E898" w14:textId="77777777" w:rsidR="007539FB" w:rsidRDefault="007539FB" w:rsidP="00B80B84">
      <w:pPr>
        <w:spacing w:before="240" w:after="240"/>
        <w:ind w:right="231"/>
        <w:rPr>
          <w:color w:val="1F1F1F"/>
          <w:lang w:val="en"/>
        </w:rPr>
      </w:pPr>
    </w:p>
    <w:p w14:paraId="33DD8CA0" w14:textId="77777777" w:rsidR="007539FB" w:rsidRDefault="007539FB" w:rsidP="00B80B84">
      <w:pPr>
        <w:spacing w:before="240" w:after="240"/>
        <w:ind w:right="231"/>
        <w:rPr>
          <w:color w:val="1F1F1F"/>
          <w:lang w:val="en"/>
        </w:rPr>
      </w:pPr>
    </w:p>
    <w:p w14:paraId="4A63422C" w14:textId="6ACC0475" w:rsidR="007539FB" w:rsidRDefault="007539FB" w:rsidP="007539FB">
      <w:pPr>
        <w:pStyle w:val="ListParagraph"/>
        <w:numPr>
          <w:ilvl w:val="1"/>
          <w:numId w:val="21"/>
        </w:numPr>
        <w:spacing w:before="240" w:after="240"/>
        <w:ind w:left="284" w:right="231"/>
        <w:rPr>
          <w:color w:val="1F1F1F"/>
          <w:lang w:val="en"/>
        </w:rPr>
      </w:pPr>
      <w:r w:rsidRPr="007539FB">
        <w:rPr>
          <w:color w:val="1F1F1F"/>
          <w:lang w:val="en"/>
        </w:rPr>
        <w:t>Data Fusion &amp; Preprocessing Pipeline</w:t>
      </w:r>
    </w:p>
    <w:p w14:paraId="710E6EE2" w14:textId="03C6A828" w:rsidR="007539FB" w:rsidRDefault="007539FB" w:rsidP="007539FB">
      <w:pPr>
        <w:pStyle w:val="ListParagraph"/>
        <w:numPr>
          <w:ilvl w:val="0"/>
          <w:numId w:val="37"/>
        </w:numPr>
        <w:spacing w:before="240" w:after="240"/>
        <w:ind w:left="284" w:right="231" w:hanging="142"/>
        <w:rPr>
          <w:color w:val="1F1F1F"/>
          <w:lang w:val="en"/>
        </w:rPr>
      </w:pPr>
      <w:r w:rsidRPr="007539FB">
        <w:rPr>
          <w:color w:val="1F1F1F"/>
          <w:lang w:val="en"/>
        </w:rPr>
        <w:t>Fusion Logic and Integration Architecture</w:t>
      </w:r>
    </w:p>
    <w:p w14:paraId="3578B9C3" w14:textId="77777777" w:rsidR="007539FB" w:rsidRPr="007539FB" w:rsidRDefault="007539FB" w:rsidP="007539FB">
      <w:pPr>
        <w:spacing w:before="240" w:after="240"/>
        <w:ind w:right="231"/>
        <w:jc w:val="both"/>
        <w:rPr>
          <w:color w:val="1F1F1F"/>
          <w:lang w:val="en"/>
        </w:rPr>
      </w:pPr>
      <w:r w:rsidRPr="007539FB">
        <w:rPr>
          <w:color w:val="1F1F1F"/>
          <w:lang w:val="en"/>
        </w:rPr>
        <w:lastRenderedPageBreak/>
        <w:t>Data fusion constitutes the foundational stage of the preprocessing pipeline, transforming disparate data sources into a unified analytical framework suitable for comprehensive multi-disease prediction. The fusion process orchestrates the integration of three distinct data streams: survey response variables capturing behavioral and lifestyle information, clinical biomarker measurements representing physiological status, and demographic characteristics defining population segments. Each participant in the Behavioral Risk Factor Surveillance System dataset possesses a unique identifier that serves as the key for merging these heterogeneous data sources into cohesive patient profiles.</w:t>
      </w:r>
    </w:p>
    <w:p w14:paraId="51AB6664" w14:textId="1ECD3472" w:rsidR="007539FB" w:rsidRPr="007539FB" w:rsidRDefault="007539FB" w:rsidP="007539FB">
      <w:pPr>
        <w:spacing w:before="240" w:after="240"/>
        <w:ind w:right="231"/>
        <w:jc w:val="both"/>
        <w:rPr>
          <w:color w:val="1F1F1F"/>
          <w:lang w:val="en"/>
        </w:rPr>
      </w:pPr>
      <w:r w:rsidRPr="007539FB">
        <w:rPr>
          <w:color w:val="1F1F1F"/>
          <w:lang w:val="en"/>
        </w:rPr>
        <w:t>The integration methodology addresses several critical challenges inherent in combining multi-source healthcare data. Variable name harmonization resolves inconsistencies where identical concepts appear under different labels across data sources—for instance, blood pressure measurements might be recorded as "BP_SYSTOLIC" in clinical modules but "SYS_BP" in cardiovascular assessments. The fusion algorithm implements a standardized nomenclature system that maps all variants to canonical variable names, ensuring downstream analyses reference consistent constructs. Unit standardization converts measurements to common scales, transforming blood glucose values from various units (mg/dL, mmol/L) into a single standard representation that enables meaningful comparisons and aggregations.</w:t>
      </w:r>
      <w:r>
        <w:rPr>
          <w:color w:val="1F1F1F"/>
          <w:lang w:val="en"/>
        </w:rPr>
        <w:t xml:space="preserve"> </w:t>
      </w:r>
      <w:r w:rsidRPr="007539FB">
        <w:rPr>
          <w:color w:val="1F1F1F"/>
          <w:lang w:val="en"/>
        </w:rPr>
        <w:t>The fusion process generates derived categorical variables that discretize continuous measurements into clinically meaningful risk categories. Blood pressure readings transform into hypertension stage classifications (normal, pre-hypertension, stage 1, stage 2) based on established clinical guidelines. Glycemic measurements convert to diabetes risk categories (normal, prediabetic, diabetic) using hemoglobin A1C thresholds. These categorical transformations enable threshold-based decision rules in clinical workflows while preserving continuous values for model training where numerical precision enhances predictive accuracy.</w:t>
      </w:r>
    </w:p>
    <w:p w14:paraId="476BE2E5" w14:textId="7D267EBF" w:rsidR="007539FB" w:rsidRDefault="007539FB" w:rsidP="007539FB">
      <w:pPr>
        <w:pStyle w:val="ListParagraph"/>
        <w:numPr>
          <w:ilvl w:val="0"/>
          <w:numId w:val="37"/>
        </w:numPr>
        <w:spacing w:before="240" w:after="240"/>
        <w:ind w:left="284" w:right="231" w:hanging="142"/>
        <w:rPr>
          <w:color w:val="1F1F1F"/>
          <w:lang w:val="en"/>
        </w:rPr>
      </w:pPr>
      <w:r w:rsidRPr="007539FB">
        <w:rPr>
          <w:color w:val="1F1F1F"/>
          <w:lang w:val="en"/>
        </w:rPr>
        <w:t xml:space="preserve">Missing Value Treatment and Imputation </w:t>
      </w:r>
      <w:r w:rsidRPr="007539FB">
        <w:rPr>
          <w:color w:val="1F1F1F"/>
          <w:lang w:val="en"/>
        </w:rPr>
        <w:t>Strategies</w:t>
      </w:r>
    </w:p>
    <w:p w14:paraId="40AF8F46" w14:textId="77777777" w:rsidR="007539FB" w:rsidRPr="007539FB" w:rsidRDefault="007539FB" w:rsidP="007539FB">
      <w:pPr>
        <w:spacing w:before="240" w:after="240"/>
        <w:ind w:right="231"/>
        <w:jc w:val="both"/>
        <w:rPr>
          <w:color w:val="1F1F1F"/>
          <w:lang w:val="en"/>
        </w:rPr>
      </w:pPr>
      <w:r w:rsidRPr="007539FB">
        <w:rPr>
          <w:color w:val="1F1F1F"/>
          <w:lang w:val="en"/>
        </w:rPr>
        <w:t>Healthcare datasets universally exhibit substantial missingness arising from survey non-response, selective testing based on clinical indications, and longitudinal attrition where participants discontinue study participation. The preprocessing pipeline implements sophisticated imputation strategies that preserve statistical properties while avoiding introduction of systematic bias. The approach recognizes that missing data mechanisms vary across features—some missingness occurs completely at random while other patterns reflect informative processes where missingness itself correlates with outcomes.</w:t>
      </w:r>
    </w:p>
    <w:p w14:paraId="2A18409B" w14:textId="77777777" w:rsidR="007539FB" w:rsidRPr="007539FB" w:rsidRDefault="007539FB" w:rsidP="007539FB">
      <w:pPr>
        <w:spacing w:before="240" w:after="240"/>
        <w:ind w:right="231"/>
        <w:jc w:val="both"/>
        <w:rPr>
          <w:color w:val="1F1F1F"/>
          <w:lang w:val="en"/>
        </w:rPr>
      </w:pPr>
      <w:r w:rsidRPr="007539FB">
        <w:rPr>
          <w:color w:val="1F1F1F"/>
          <w:lang w:val="en"/>
        </w:rPr>
        <w:t xml:space="preserve">K-nearest neighbors imputation addresses continuous biomarker variables by identifying patients with similar observed characteristics and inferring missing values from their measurements. The algorithm computes distance metrics across all observed features, identifies </w:t>
      </w:r>
      <w:proofErr w:type="gramStart"/>
      <w:r w:rsidRPr="007539FB">
        <w:rPr>
          <w:color w:val="1F1F1F"/>
          <w:lang w:val="en"/>
        </w:rPr>
        <w:t>the k</w:t>
      </w:r>
      <w:proofErr w:type="gramEnd"/>
      <w:r w:rsidRPr="007539FB">
        <w:rPr>
          <w:color w:val="1F1F1F"/>
          <w:lang w:val="en"/>
        </w:rPr>
        <w:t xml:space="preserve"> most similar patients, and estimates the missing value as the weighted average of those neighbors' values. This approach leverages the correlation structure within the data, recognizing that patients resembling each other on observed dimensions likely exhibit similarity on unobserved dimensions as well. The method preserves multivariate relationships better than univariate imputation strategies that estimate each variable independently.</w:t>
      </w:r>
    </w:p>
    <w:p w14:paraId="7F733B6B" w14:textId="77777777" w:rsidR="007539FB" w:rsidRPr="007539FB" w:rsidRDefault="007539FB" w:rsidP="007539FB">
      <w:pPr>
        <w:spacing w:before="240" w:after="240"/>
        <w:ind w:right="231"/>
        <w:jc w:val="both"/>
        <w:rPr>
          <w:color w:val="1F1F1F"/>
          <w:lang w:val="en"/>
        </w:rPr>
      </w:pPr>
      <w:r w:rsidRPr="007539FB">
        <w:rPr>
          <w:color w:val="1F1F1F"/>
          <w:lang w:val="en"/>
        </w:rPr>
        <w:t xml:space="preserve">Categorical variables receive mode imputation where missing values are replaced with the most frequently occurring category within relevant subgroups. Simple overall mode imputation ignores important variation across demographic segments—for instance, the modal smoking status differs substantially between age groups and geographic regions. The implementation stratifies mode calculation by key demographic variables, ensuring imputed values reflect appropriate reference populations. Indicator variables flag all imputed values, enabling sensitivity analyses that assess whether model predictions depend critically on imputed versus observed data. Models demonstrating excessive reliance on imputed values receive additional scrutiny as their predictions may not generalize to populations </w:t>
      </w:r>
      <w:r w:rsidRPr="007539FB">
        <w:rPr>
          <w:color w:val="1F1F1F"/>
          <w:lang w:val="en"/>
        </w:rPr>
        <w:lastRenderedPageBreak/>
        <w:t>with different missingness patterns.</w:t>
      </w:r>
    </w:p>
    <w:p w14:paraId="17A6A5D1" w14:textId="02BB7228" w:rsidR="007539FB" w:rsidRPr="007539FB" w:rsidRDefault="007539FB" w:rsidP="007539FB">
      <w:pPr>
        <w:spacing w:before="240" w:after="240"/>
        <w:ind w:right="231"/>
        <w:jc w:val="both"/>
        <w:rPr>
          <w:color w:val="1F1F1F"/>
          <w:lang w:val="en"/>
        </w:rPr>
      </w:pPr>
      <w:r w:rsidRPr="007539FB">
        <w:rPr>
          <w:color w:val="1F1F1F"/>
          <w:lang w:val="en"/>
        </w:rPr>
        <w:t xml:space="preserve">Multiple imputation generates several complete datasets through stochastic imputation, trains separate models on </w:t>
      </w:r>
      <w:proofErr w:type="gramStart"/>
      <w:r w:rsidRPr="007539FB">
        <w:rPr>
          <w:color w:val="1F1F1F"/>
          <w:lang w:val="en"/>
        </w:rPr>
        <w:t>each, and</w:t>
      </w:r>
      <w:proofErr w:type="gramEnd"/>
      <w:r w:rsidRPr="007539FB">
        <w:rPr>
          <w:color w:val="1F1F1F"/>
          <w:lang w:val="en"/>
        </w:rPr>
        <w:t xml:space="preserve"> combines predictions through averaging. This approach provides principled uncertainty quantification that acknowledges imputation-induced variability rather than treating imputed values as known with certainty. The additional computational burden of multiple imputation limits its application to final model validation rather than routine training pipeline execution, but the technique offers valuable assessment of prediction stability across plausible data completions.</w:t>
      </w:r>
    </w:p>
    <w:p w14:paraId="5838FADA" w14:textId="6B8EE1EF" w:rsidR="007539FB" w:rsidRDefault="007539FB" w:rsidP="007539FB">
      <w:pPr>
        <w:pStyle w:val="ListParagraph"/>
        <w:numPr>
          <w:ilvl w:val="0"/>
          <w:numId w:val="37"/>
        </w:numPr>
        <w:spacing w:before="240" w:after="240"/>
        <w:ind w:left="284" w:right="231" w:hanging="142"/>
        <w:rPr>
          <w:color w:val="1F1F1F"/>
          <w:lang w:val="en"/>
        </w:rPr>
      </w:pPr>
      <w:r w:rsidRPr="007539FB">
        <w:rPr>
          <w:color w:val="1F1F1F"/>
          <w:lang w:val="en"/>
        </w:rPr>
        <w:t>Data Leakage Detection and Prevention Framework</w:t>
      </w:r>
    </w:p>
    <w:p w14:paraId="3453ED6B" w14:textId="77777777" w:rsidR="007539FB" w:rsidRPr="007539FB" w:rsidRDefault="007539FB" w:rsidP="007539FB">
      <w:pPr>
        <w:spacing w:before="240" w:after="240"/>
        <w:ind w:right="231"/>
        <w:jc w:val="both"/>
        <w:rPr>
          <w:color w:val="1F1F1F"/>
          <w:lang w:val="en"/>
        </w:rPr>
      </w:pPr>
      <w:r w:rsidRPr="007539FB">
        <w:rPr>
          <w:color w:val="1F1F1F"/>
          <w:lang w:val="en"/>
        </w:rPr>
        <w:t>Data leakage represents the most insidious threat to model validity, creating artificially inflated performance metrics that catastrophically fail to generalize to prospective prediction scenarios. Leakage occurs when features encoding information about outcomes that would not be available at prediction time inadvertently enter the training process. The preprocessing pipeline implements multi-layered leakage detection combining statistical screening, domain knowledge review, and empirical validation to systematically identify and eliminate problematic features.</w:t>
      </w:r>
      <w:r>
        <w:rPr>
          <w:color w:val="1F1F1F"/>
          <w:lang w:val="en"/>
        </w:rPr>
        <w:t xml:space="preserve"> </w:t>
      </w:r>
      <w:r w:rsidRPr="007539FB">
        <w:rPr>
          <w:color w:val="1F1F1F"/>
          <w:lang w:val="en"/>
        </w:rPr>
        <w:t>Statistical screening identifies features exhibiting suspiciously high correlations with target variables, particularly those enabling near-perfect classification accuracy. Such associations almost invariably indicate that the feature directly encodes outcome information rather than representing genuine predictive factors. Features derived from explicit disease diagnosis codes—such as self-reported diabetes status for diabetes prediction or prior stroke diagnosis for stroke prediction—represent the most obvious leakage sources requiring unconditional exclusion. More subtle leakage arises from general health status variables that aggregate disease burden, mental health measures that reflect depression symptoms rather than risk factors, and certain engineered features that inadvertently incorporate outcome information.</w:t>
      </w:r>
    </w:p>
    <w:p w14:paraId="12C7FC3D" w14:textId="77777777" w:rsidR="007539FB" w:rsidRPr="007539FB" w:rsidRDefault="007539FB" w:rsidP="007539FB">
      <w:pPr>
        <w:spacing w:before="240" w:after="240"/>
        <w:ind w:right="231"/>
        <w:jc w:val="both"/>
        <w:rPr>
          <w:color w:val="1F1F1F"/>
          <w:lang w:val="en"/>
        </w:rPr>
      </w:pPr>
      <w:r w:rsidRPr="007539FB">
        <w:rPr>
          <w:color w:val="1F1F1F"/>
          <w:lang w:val="en"/>
        </w:rPr>
        <w:t xml:space="preserve">Domain knowledge </w:t>
      </w:r>
      <w:proofErr w:type="gramStart"/>
      <w:r w:rsidRPr="007539FB">
        <w:rPr>
          <w:color w:val="1F1F1F"/>
          <w:lang w:val="en"/>
        </w:rPr>
        <w:t>review</w:t>
      </w:r>
      <w:proofErr w:type="gramEnd"/>
      <w:r w:rsidRPr="007539FB">
        <w:rPr>
          <w:color w:val="1F1F1F"/>
          <w:lang w:val="en"/>
        </w:rPr>
        <w:t xml:space="preserve"> subjects each feature to temporal validity assessment, asking whether the represented information would genuinely be available before disease diagnosis in prospective risk assessment scenarios. Clinical experts examine feature definitions and data collection procedures to identify variables that, despite lacking explicit disease labels, encode outcome-related information through indirect mechanisms. This qualitative review process proves essential because purely statistical approaches cannot distinguish legitimate prediction from leakage when both produce similar correlation patterns.</w:t>
      </w:r>
    </w:p>
    <w:p w14:paraId="1D2465E3" w14:textId="77777777" w:rsidR="007539FB" w:rsidRPr="007539FB" w:rsidRDefault="007539FB" w:rsidP="007539FB">
      <w:pPr>
        <w:spacing w:before="240" w:after="240"/>
        <w:ind w:right="231"/>
        <w:jc w:val="both"/>
        <w:rPr>
          <w:color w:val="1F1F1F"/>
          <w:lang w:val="en"/>
        </w:rPr>
      </w:pPr>
      <w:r w:rsidRPr="007539FB">
        <w:rPr>
          <w:color w:val="1F1F1F"/>
          <w:lang w:val="en"/>
        </w:rPr>
        <w:t>Ablation experiments provide empirical validation by systematically removing suspect features and quantifying resulting performance changes. Minimal degradation when removing a high-correlation feature confirms leakage dependency where the model essentially learned to recognize existing diagnoses rather than predict future disease. Substantial performance loss despite high correlation validates genuine predictive value, indicating the feature captures risk factors that legitimately precede outcomes. The systematic detection process identified over thirty problematic features requiring exclusion, including direct disease diagnostic codes, general health status variables, mental health symptom measures, and specific engineered features creating circular reasoning patterns.</w:t>
      </w:r>
    </w:p>
    <w:p w14:paraId="06EAED70" w14:textId="18657202" w:rsidR="007539FB" w:rsidRPr="007539FB" w:rsidRDefault="007539FB" w:rsidP="007539FB">
      <w:pPr>
        <w:spacing w:before="240" w:after="240"/>
        <w:ind w:right="231"/>
        <w:jc w:val="both"/>
        <w:rPr>
          <w:color w:val="1F1F1F"/>
          <w:lang w:val="en"/>
        </w:rPr>
      </w:pPr>
      <w:r w:rsidRPr="007539FB">
        <w:rPr>
          <w:color w:val="1F1F1F"/>
          <w:lang w:val="en"/>
        </w:rPr>
        <w:t xml:space="preserve">The framework generates dual dataset </w:t>
      </w:r>
      <w:proofErr w:type="gramStart"/>
      <w:r w:rsidRPr="007539FB">
        <w:rPr>
          <w:color w:val="1F1F1F"/>
          <w:lang w:val="en"/>
        </w:rPr>
        <w:t>versions—</w:t>
      </w:r>
      <w:proofErr w:type="gramEnd"/>
      <w:r w:rsidRPr="007539FB">
        <w:rPr>
          <w:color w:val="1F1F1F"/>
          <w:lang w:val="en"/>
        </w:rPr>
        <w:t>a standard version retaining all engineered features and a clean version with leaking features removed. This transparency enables readers to assess both the maximum achievable performance and the realistic prospective performance expected in actual deployment. Documentation specifies the rationale for each exclusion decision, providing an audit trail that enables independent verification and informs future research attempting to extend or validate the methodology.</w:t>
      </w:r>
    </w:p>
    <w:p w14:paraId="129E3132" w14:textId="77777777" w:rsidR="007539FB" w:rsidRDefault="007539FB" w:rsidP="007539FB">
      <w:pPr>
        <w:spacing w:before="240" w:after="240"/>
        <w:ind w:right="231"/>
        <w:rPr>
          <w:color w:val="1F1F1F"/>
          <w:lang w:val="en"/>
        </w:rPr>
      </w:pPr>
    </w:p>
    <w:p w14:paraId="7C874D1F" w14:textId="77777777" w:rsidR="002B0D69" w:rsidRDefault="002B0D69" w:rsidP="007539FB">
      <w:pPr>
        <w:spacing w:before="240" w:after="240"/>
        <w:ind w:right="231"/>
        <w:rPr>
          <w:color w:val="1F1F1F"/>
          <w:lang w:val="en"/>
        </w:rPr>
      </w:pPr>
    </w:p>
    <w:p w14:paraId="28A1D504" w14:textId="77777777" w:rsidR="002B0D69" w:rsidRDefault="002B0D69" w:rsidP="007539FB">
      <w:pPr>
        <w:spacing w:before="240" w:after="240"/>
        <w:ind w:right="231"/>
        <w:rPr>
          <w:color w:val="1F1F1F"/>
          <w:lang w:val="en"/>
        </w:rPr>
      </w:pPr>
    </w:p>
    <w:p w14:paraId="39803114" w14:textId="77777777" w:rsidR="002B0D69" w:rsidRDefault="002B0D69" w:rsidP="002B0D69">
      <w:pPr>
        <w:widowControl/>
        <w:autoSpaceDE/>
        <w:autoSpaceDN/>
        <w:rPr>
          <w:rFonts w:ascii="Times New Roman" w:eastAsia="Times New Roman" w:hAnsi="Times New Roman" w:cs="Times New Roman"/>
          <w:sz w:val="24"/>
          <w:szCs w:val="24"/>
          <w:lang/>
        </w:rPr>
        <w:sectPr w:rsidR="002B0D69" w:rsidSect="00973DE5">
          <w:type w:val="continuous"/>
          <w:pgSz w:w="11910" w:h="16840"/>
          <w:pgMar w:top="1060" w:right="708" w:bottom="1340" w:left="708" w:header="763" w:footer="1143" w:gutter="0"/>
          <w:cols w:num="2" w:space="720"/>
        </w:sectPr>
      </w:pPr>
    </w:p>
    <w:p w14:paraId="05E7A150" w14:textId="06F90138" w:rsidR="002B0D69" w:rsidRDefault="002B0D69" w:rsidP="002B0D69">
      <w:pPr>
        <w:widowControl/>
        <w:autoSpaceDE/>
        <w:autoSpaceDN/>
        <w:rPr>
          <w:rFonts w:ascii="Times New Roman" w:eastAsia="Times New Roman" w:hAnsi="Times New Roman" w:cs="Times New Roman"/>
          <w:sz w:val="24"/>
          <w:szCs w:val="24"/>
          <w:lang/>
        </w:rPr>
        <w:sectPr w:rsidR="002B0D69" w:rsidSect="002B0D69">
          <w:type w:val="continuous"/>
          <w:pgSz w:w="11910" w:h="16840"/>
          <w:pgMar w:top="1060" w:right="708" w:bottom="1340" w:left="708" w:header="763" w:footer="1143" w:gutter="0"/>
          <w:cols w:space="720"/>
        </w:sectPr>
      </w:pPr>
    </w:p>
    <w:p w14:paraId="6C8C2807" w14:textId="19B074D2" w:rsidR="002B0D69" w:rsidRPr="002B0D69" w:rsidRDefault="002B0D69" w:rsidP="002B0D69">
      <w:pPr>
        <w:widowControl/>
        <w:autoSpaceDE/>
        <w:autoSpaceDN/>
        <w:rPr>
          <w:rFonts w:ascii="Times New Roman" w:eastAsia="Times New Roman" w:hAnsi="Times New Roman" w:cs="Times New Roman"/>
          <w:sz w:val="24"/>
          <w:szCs w:val="24"/>
          <w:lang/>
        </w:rPr>
      </w:pPr>
      <w:r w:rsidRPr="002B0D69">
        <w:rPr>
          <w:rFonts w:ascii="Times New Roman" w:eastAsia="Times New Roman" w:hAnsi="Times New Roman" w:cs="Times New Roman"/>
          <w:noProof/>
          <w:sz w:val="24"/>
          <w:szCs w:val="24"/>
          <w:lang/>
        </w:rPr>
        <w:lastRenderedPageBreak/>
        <w:drawing>
          <wp:anchor distT="0" distB="0" distL="114300" distR="114300" simplePos="0" relativeHeight="251660288" behindDoc="0" locked="0" layoutInCell="1" allowOverlap="1" wp14:anchorId="5E25D5E9" wp14:editId="5D7C8550">
            <wp:simplePos x="0" y="0"/>
            <wp:positionH relativeFrom="column">
              <wp:posOffset>1254125</wp:posOffset>
            </wp:positionH>
            <wp:positionV relativeFrom="paragraph">
              <wp:posOffset>261620</wp:posOffset>
            </wp:positionV>
            <wp:extent cx="3636645" cy="8104505"/>
            <wp:effectExtent l="0" t="0" r="1905" b="0"/>
            <wp:wrapTopAndBottom/>
            <wp:docPr id="1901867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36645" cy="8104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330EC" w14:textId="77777777" w:rsidR="002B0D69" w:rsidRDefault="002B0D69" w:rsidP="007539FB">
      <w:pPr>
        <w:spacing w:before="240" w:after="240"/>
        <w:ind w:right="231"/>
        <w:rPr>
          <w:color w:val="1F1F1F"/>
          <w:lang w:val="en"/>
        </w:rPr>
      </w:pPr>
    </w:p>
    <w:p w14:paraId="55FD4A06" w14:textId="77777777" w:rsidR="002B0D69" w:rsidRDefault="002B0D69" w:rsidP="007539FB">
      <w:pPr>
        <w:spacing w:before="240" w:after="240"/>
        <w:ind w:right="231"/>
        <w:rPr>
          <w:color w:val="1F1F1F"/>
          <w:lang w:val="en"/>
        </w:rPr>
      </w:pPr>
    </w:p>
    <w:p w14:paraId="32A5F025" w14:textId="77777777" w:rsidR="002B0D69" w:rsidRDefault="002B0D69" w:rsidP="007539FB">
      <w:pPr>
        <w:spacing w:before="240" w:after="240"/>
        <w:ind w:right="231"/>
        <w:rPr>
          <w:color w:val="1F1F1F"/>
          <w:lang w:val="en"/>
        </w:rPr>
      </w:pPr>
    </w:p>
    <w:p w14:paraId="0A4D4FC3" w14:textId="77777777" w:rsidR="002B0D69" w:rsidRDefault="002B0D69" w:rsidP="007539FB">
      <w:pPr>
        <w:spacing w:before="240" w:after="240"/>
        <w:ind w:right="231"/>
        <w:rPr>
          <w:color w:val="1F1F1F"/>
          <w:lang w:val="en"/>
        </w:rPr>
      </w:pPr>
    </w:p>
    <w:p w14:paraId="7C04EBDD" w14:textId="4704E893" w:rsidR="007539FB" w:rsidRDefault="007539FB" w:rsidP="007539FB">
      <w:pPr>
        <w:pStyle w:val="ListParagraph"/>
        <w:numPr>
          <w:ilvl w:val="1"/>
          <w:numId w:val="21"/>
        </w:numPr>
        <w:spacing w:before="240" w:after="240"/>
        <w:ind w:left="426" w:right="231" w:hanging="426"/>
        <w:rPr>
          <w:color w:val="1F1F1F"/>
          <w:lang w:val="en"/>
        </w:rPr>
      </w:pPr>
      <w:r w:rsidRPr="007539FB">
        <w:rPr>
          <w:color w:val="1F1F1F"/>
          <w:lang w:val="en"/>
        </w:rPr>
        <w:lastRenderedPageBreak/>
        <w:t>Training, Hyperparameter Optimization and Class Imbalance</w:t>
      </w:r>
    </w:p>
    <w:p w14:paraId="41A9F0B9" w14:textId="54E1B688" w:rsidR="007539FB" w:rsidRDefault="007539FB" w:rsidP="007539FB">
      <w:pPr>
        <w:pStyle w:val="ListParagraph"/>
        <w:numPr>
          <w:ilvl w:val="0"/>
          <w:numId w:val="38"/>
        </w:numPr>
        <w:spacing w:before="240" w:after="240"/>
        <w:ind w:left="426" w:right="231" w:hanging="142"/>
        <w:rPr>
          <w:color w:val="1F1F1F"/>
          <w:lang w:val="en"/>
        </w:rPr>
      </w:pPr>
      <w:r w:rsidRPr="007539FB">
        <w:rPr>
          <w:color w:val="1F1F1F"/>
          <w:lang w:val="en"/>
        </w:rPr>
        <w:t>Systematic Hyperparameter Search</w:t>
      </w:r>
    </w:p>
    <w:p w14:paraId="22B73CBF" w14:textId="2AF00E6B" w:rsidR="007539FB" w:rsidRPr="007539FB" w:rsidRDefault="007539FB" w:rsidP="007539FB">
      <w:pPr>
        <w:spacing w:before="240" w:after="240"/>
        <w:ind w:right="231"/>
        <w:jc w:val="both"/>
        <w:rPr>
          <w:color w:val="1F1F1F"/>
          <w:lang w:val="en"/>
        </w:rPr>
      </w:pPr>
      <w:r w:rsidRPr="007539FB">
        <w:rPr>
          <w:color w:val="1F1F1F"/>
          <w:lang w:val="en"/>
        </w:rPr>
        <w:t xml:space="preserve">Hyperparameter optimization navigates the complex configuration space of gradient boosting algorithms to identify settings that maximize predictive performance while maintaining generalization to unseen data. The search process employs grid search methodology that exhaustively evaluates combinations of critical parameters, with cross-validation ensuring selected configurations perform robustly across multiple data partitions rather than overfitting to </w:t>
      </w:r>
      <w:proofErr w:type="gramStart"/>
      <w:r w:rsidRPr="007539FB">
        <w:rPr>
          <w:color w:val="1F1F1F"/>
          <w:lang w:val="en"/>
        </w:rPr>
        <w:t>particular training</w:t>
      </w:r>
      <w:proofErr w:type="gramEnd"/>
      <w:r w:rsidRPr="007539FB">
        <w:rPr>
          <w:color w:val="1F1F1F"/>
          <w:lang w:val="en"/>
        </w:rPr>
        <w:t xml:space="preserve"> subsets.</w:t>
      </w:r>
      <w:r>
        <w:t xml:space="preserve"> </w:t>
      </w:r>
      <w:r w:rsidRPr="007539FB">
        <w:rPr>
          <w:color w:val="1F1F1F"/>
          <w:lang w:val="en"/>
        </w:rPr>
        <w:t>The optimal configuration balances multiple competing objectives. Learning rate selection trades off convergence speed against final performance, with moderate rates of 0.1 providing stable optimization without excessive training time. Maximum tree depth determines model capacity to represent complex feature interactions, with depth 6 capturing meaningful patterns without memorizing idiosyncratic training examples. Ensemble size reaches performance saturation at 200 trees, where additional boosting rounds yield diminishing returns while increasing inference latency. Stochastic sampling parameters introduce controlled randomness that improves ensemble diversity, reducing variance through mechanisms analogous to bootstrap aggregation in random forests.</w:t>
      </w:r>
    </w:p>
    <w:p w14:paraId="24DEAE75" w14:textId="2E964354" w:rsidR="007539FB" w:rsidRDefault="007539FB" w:rsidP="007539FB">
      <w:pPr>
        <w:pStyle w:val="ListParagraph"/>
        <w:numPr>
          <w:ilvl w:val="0"/>
          <w:numId w:val="38"/>
        </w:numPr>
        <w:spacing w:before="240" w:after="240"/>
        <w:ind w:left="426" w:right="231" w:hanging="142"/>
        <w:rPr>
          <w:color w:val="1F1F1F"/>
          <w:lang w:val="en"/>
        </w:rPr>
      </w:pPr>
      <w:r w:rsidRPr="007539FB">
        <w:rPr>
          <w:color w:val="1F1F1F"/>
          <w:lang w:val="en"/>
        </w:rPr>
        <w:t>Class Imbalance Mitigation Strategies</w:t>
      </w:r>
    </w:p>
    <w:p w14:paraId="3013EA07" w14:textId="77777777" w:rsidR="007539FB" w:rsidRPr="007539FB" w:rsidRDefault="007539FB" w:rsidP="007539FB">
      <w:pPr>
        <w:spacing w:before="240" w:after="240"/>
        <w:ind w:right="231"/>
        <w:jc w:val="both"/>
        <w:rPr>
          <w:color w:val="1F1F1F"/>
          <w:lang w:val="en"/>
        </w:rPr>
      </w:pPr>
      <w:r w:rsidRPr="007539FB">
        <w:rPr>
          <w:color w:val="1F1F1F"/>
          <w:lang w:val="en"/>
        </w:rPr>
        <w:t>Severe class imbalance characterizes several target diseases, with rare conditions like Parkinson's Disease and Epilepsy affecting less than one percent of the population. Standard machine learning algorithms trained on imbalanced data exhibit strong bias toward majority classes, achieving high overall accuracy by simply predicting negative outcomes for all cases while failing to identify the critical minority of high-risk individuals. The training pipeline implements multiple complementary strategies to address this fundamental challenge.</w:t>
      </w:r>
    </w:p>
    <w:p w14:paraId="0705EC48" w14:textId="77777777" w:rsidR="007539FB" w:rsidRPr="007539FB" w:rsidRDefault="007539FB" w:rsidP="007539FB">
      <w:pPr>
        <w:spacing w:before="240" w:after="240"/>
        <w:ind w:right="231"/>
        <w:jc w:val="both"/>
        <w:rPr>
          <w:color w:val="1F1F1F"/>
          <w:lang w:val="en"/>
        </w:rPr>
      </w:pPr>
      <w:r w:rsidRPr="007539FB">
        <w:rPr>
          <w:color w:val="1F1F1F"/>
          <w:lang w:val="en"/>
        </w:rPr>
        <w:t xml:space="preserve">Class weighting assigns differential importance to </w:t>
      </w:r>
      <w:r w:rsidRPr="007539FB">
        <w:rPr>
          <w:color w:val="1F1F1F"/>
          <w:lang w:val="en"/>
        </w:rPr>
        <w:t xml:space="preserve">positive versus negative instances during loss computation, effectively increasing the penalty for misclassifying rare disease cases. The weight ratio typically equals the inverse of class frequencies, making each positive instance contribute equivalently to an entire batch of negative instances. This </w:t>
      </w:r>
      <w:proofErr w:type="gramStart"/>
      <w:r w:rsidRPr="007539FB">
        <w:rPr>
          <w:color w:val="1F1F1F"/>
          <w:lang w:val="en"/>
        </w:rPr>
        <w:t>reweighting</w:t>
      </w:r>
      <w:proofErr w:type="gramEnd"/>
      <w:r w:rsidRPr="007539FB">
        <w:rPr>
          <w:color w:val="1F1F1F"/>
          <w:lang w:val="en"/>
        </w:rPr>
        <w:t xml:space="preserve"> shifts the optimization objective from maximizing overall accuracy to balancing sensitivity and specificity, ensuring models learn to recognize disease patterns despite their scarcity. Sample-level weights receive further adjustment based on prediction difficulty, with challenging borderline cases receiving additional emphasis that focuses model capacity on the decision boundary.</w:t>
      </w:r>
    </w:p>
    <w:p w14:paraId="367E8CDE" w14:textId="08686A3E" w:rsidR="007539FB" w:rsidRPr="007539FB" w:rsidRDefault="007539FB" w:rsidP="007539FB">
      <w:pPr>
        <w:spacing w:before="240" w:after="240"/>
        <w:ind w:right="231"/>
        <w:jc w:val="both"/>
        <w:rPr>
          <w:color w:val="1F1F1F"/>
          <w:lang w:val="en"/>
        </w:rPr>
      </w:pPr>
      <w:r w:rsidRPr="007539FB">
        <w:rPr>
          <w:color w:val="1F1F1F"/>
          <w:lang w:val="en"/>
        </w:rPr>
        <w:t>Threshold adjustment provides post-hoc calibration that adapts classification cutoffs to achieve desired sensitivity-specificity tradeoffs. Standard 0.5 probability thresholds prove suboptimal for imbalanced problems where optimal decision boundaries lie elsewhere. The pipeline evaluates performance across the full range of thresholds, selecting values that achieve clinically appropriate balances for each disease. High-consequence conditions may warrant aggressive threshold lowering that maximizes sensitivity despite increased false positives, while low-consequence conditions permit conservative thresholds emphasizing specificity.</w:t>
      </w:r>
    </w:p>
    <w:p w14:paraId="7EA2CFA5" w14:textId="4F604DBB" w:rsidR="007539FB" w:rsidRDefault="007539FB" w:rsidP="007539FB">
      <w:pPr>
        <w:pStyle w:val="ListParagraph"/>
        <w:numPr>
          <w:ilvl w:val="1"/>
          <w:numId w:val="21"/>
        </w:numPr>
        <w:spacing w:before="240" w:after="240"/>
        <w:ind w:left="284" w:right="231"/>
        <w:rPr>
          <w:color w:val="1F1F1F"/>
          <w:lang w:val="en"/>
        </w:rPr>
      </w:pPr>
      <w:r w:rsidRPr="007539FB">
        <w:rPr>
          <w:color w:val="1F1F1F"/>
          <w:lang w:val="en"/>
        </w:rPr>
        <w:t>Explainability and Model Interpretation</w:t>
      </w:r>
    </w:p>
    <w:p w14:paraId="62732743" w14:textId="11B7F5C8" w:rsidR="007539FB" w:rsidRDefault="007539FB" w:rsidP="007539FB">
      <w:pPr>
        <w:pStyle w:val="ListParagraph"/>
        <w:numPr>
          <w:ilvl w:val="0"/>
          <w:numId w:val="39"/>
        </w:numPr>
        <w:spacing w:before="240" w:after="240"/>
        <w:ind w:left="284" w:right="231" w:hanging="142"/>
        <w:rPr>
          <w:color w:val="1F1F1F"/>
          <w:lang w:val="en"/>
        </w:rPr>
      </w:pPr>
      <w:r w:rsidRPr="007539FB">
        <w:rPr>
          <w:color w:val="1F1F1F"/>
          <w:lang w:val="en"/>
        </w:rPr>
        <w:t>SHAP-Based Feature Attribution</w:t>
      </w:r>
    </w:p>
    <w:p w14:paraId="21A2EB1C" w14:textId="77777777" w:rsidR="007539FB" w:rsidRDefault="007539FB" w:rsidP="007539FB">
      <w:pPr>
        <w:spacing w:before="240" w:after="240"/>
        <w:ind w:right="231"/>
        <w:jc w:val="both"/>
        <w:rPr>
          <w:color w:val="1F1F1F"/>
          <w:lang w:val="en"/>
        </w:rPr>
      </w:pPr>
      <w:r w:rsidRPr="007539FB">
        <w:rPr>
          <w:color w:val="1F1F1F"/>
          <w:lang w:val="en"/>
        </w:rPr>
        <w:t>Model interpretability transforms opaque algorithmic predictions into transparent clinical insights that physicians can validate against medical knowledge and explain to patients. SHAP analysis provides theoretically grounded feature attributions by computing Shapley values from cooperative game theory, distributing prediction contributions fairly among features based on their marginal predictive value across all possible feature combinations. Each prediction decomposes into additive feature contributions summing to the final risk score, enabling both global importance rankings and patient-specific explanations.</w:t>
      </w:r>
    </w:p>
    <w:p w14:paraId="4B645CC6" w14:textId="77777777" w:rsidR="00151E13" w:rsidRDefault="00151E13">
      <w:pPr>
        <w:spacing w:before="240" w:after="240"/>
        <w:ind w:right="231"/>
        <w:rPr>
          <w:color w:val="1F1F1F"/>
          <w:lang w:val="en"/>
        </w:rPr>
        <w:sectPr w:rsidR="00151E13" w:rsidSect="00973DE5">
          <w:type w:val="continuous"/>
          <w:pgSz w:w="11910" w:h="16840"/>
          <w:pgMar w:top="1060" w:right="708" w:bottom="1340" w:left="708" w:header="763" w:footer="1143" w:gutter="0"/>
          <w:cols w:num="2" w:space="720"/>
        </w:sectPr>
      </w:pPr>
    </w:p>
    <w:tbl>
      <w:tblPr>
        <w:tblStyle w:val="TableGrid"/>
        <w:tblW w:w="0" w:type="auto"/>
        <w:tblLook w:val="04A0" w:firstRow="1" w:lastRow="0" w:firstColumn="1" w:lastColumn="0" w:noHBand="0" w:noVBand="1"/>
      </w:tblPr>
      <w:tblGrid>
        <w:gridCol w:w="1806"/>
        <w:gridCol w:w="2006"/>
        <w:gridCol w:w="1981"/>
        <w:gridCol w:w="2474"/>
        <w:gridCol w:w="2020"/>
      </w:tblGrid>
      <w:tr w:rsidR="00151E13" w:rsidRPr="00892B72" w14:paraId="51A1C3AC" w14:textId="77777777">
        <w:trPr>
          <w:trHeight w:val="1096"/>
        </w:trPr>
        <w:tc>
          <w:tcPr>
            <w:tcW w:w="1806" w:type="dxa"/>
          </w:tcPr>
          <w:p w14:paraId="2F11202E" w14:textId="77777777" w:rsidR="00151E13" w:rsidRPr="00892B72" w:rsidRDefault="00151E13">
            <w:pPr>
              <w:spacing w:before="240" w:after="240"/>
              <w:ind w:right="231"/>
              <w:rPr>
                <w:color w:val="1F1F1F"/>
                <w:lang w:val="en"/>
              </w:rPr>
            </w:pPr>
            <w:r w:rsidRPr="00892B72">
              <w:rPr>
                <w:color w:val="1F1F1F"/>
                <w:lang w:val="en"/>
              </w:rPr>
              <w:lastRenderedPageBreak/>
              <w:t>Risk Category</w:t>
            </w:r>
          </w:p>
        </w:tc>
        <w:tc>
          <w:tcPr>
            <w:tcW w:w="2006" w:type="dxa"/>
          </w:tcPr>
          <w:p w14:paraId="3F0C45C0" w14:textId="77777777" w:rsidR="00151E13" w:rsidRPr="00892B72" w:rsidRDefault="00151E13">
            <w:pPr>
              <w:spacing w:before="240" w:after="240"/>
              <w:ind w:right="231"/>
              <w:rPr>
                <w:color w:val="1F1F1F"/>
                <w:lang w:val="en"/>
              </w:rPr>
            </w:pPr>
            <w:r w:rsidRPr="00892B72">
              <w:rPr>
                <w:color w:val="1F1F1F"/>
                <w:lang w:val="en"/>
              </w:rPr>
              <w:t>Probability Range</w:t>
            </w:r>
          </w:p>
        </w:tc>
        <w:tc>
          <w:tcPr>
            <w:tcW w:w="1981" w:type="dxa"/>
          </w:tcPr>
          <w:p w14:paraId="54DCA3B3" w14:textId="77777777" w:rsidR="00151E13" w:rsidRPr="00892B72" w:rsidRDefault="00151E13">
            <w:pPr>
              <w:spacing w:before="240" w:after="240"/>
              <w:ind w:right="231"/>
              <w:rPr>
                <w:color w:val="1F1F1F"/>
                <w:lang w:val="en"/>
              </w:rPr>
            </w:pPr>
            <w:r w:rsidRPr="00892B72">
              <w:rPr>
                <w:color w:val="1F1F1F"/>
                <w:lang w:val="en"/>
              </w:rPr>
              <w:t>Prevalence</w:t>
            </w:r>
          </w:p>
        </w:tc>
        <w:tc>
          <w:tcPr>
            <w:tcW w:w="2474" w:type="dxa"/>
          </w:tcPr>
          <w:p w14:paraId="2F80F8C6" w14:textId="77777777" w:rsidR="00151E13" w:rsidRPr="00892B72" w:rsidRDefault="00151E13">
            <w:pPr>
              <w:spacing w:before="240" w:after="240"/>
              <w:ind w:right="231"/>
              <w:rPr>
                <w:color w:val="1F1F1F"/>
                <w:lang w:val="en"/>
              </w:rPr>
            </w:pPr>
            <w:r w:rsidRPr="00892B72">
              <w:rPr>
                <w:color w:val="1F1F1F"/>
                <w:lang w:val="en"/>
              </w:rPr>
              <w:t>Recommended Action</w:t>
            </w:r>
          </w:p>
        </w:tc>
        <w:tc>
          <w:tcPr>
            <w:tcW w:w="2020" w:type="dxa"/>
          </w:tcPr>
          <w:p w14:paraId="01D4893E" w14:textId="77777777" w:rsidR="00151E13" w:rsidRPr="00892B72" w:rsidRDefault="00151E13">
            <w:pPr>
              <w:spacing w:before="240" w:after="240"/>
              <w:ind w:right="231"/>
              <w:rPr>
                <w:color w:val="1F1F1F"/>
                <w:lang w:val="en"/>
              </w:rPr>
            </w:pPr>
            <w:r w:rsidRPr="00892B72">
              <w:rPr>
                <w:color w:val="1F1F1F"/>
                <w:lang w:val="en"/>
              </w:rPr>
              <w:t>Follow-up Interval</w:t>
            </w:r>
          </w:p>
        </w:tc>
      </w:tr>
      <w:tr w:rsidR="00151E13" w:rsidRPr="00892B72" w14:paraId="28AC1AEB" w14:textId="77777777">
        <w:trPr>
          <w:trHeight w:val="1695"/>
        </w:trPr>
        <w:tc>
          <w:tcPr>
            <w:tcW w:w="1806" w:type="dxa"/>
          </w:tcPr>
          <w:p w14:paraId="45DC8783" w14:textId="77777777" w:rsidR="00151E13" w:rsidRPr="00892B72" w:rsidRDefault="00151E13">
            <w:pPr>
              <w:spacing w:before="240" w:after="240"/>
              <w:ind w:right="231"/>
              <w:rPr>
                <w:color w:val="1F1F1F"/>
                <w:lang w:val="en"/>
              </w:rPr>
            </w:pPr>
            <w:r w:rsidRPr="00892B72">
              <w:rPr>
                <w:color w:val="1F1F1F"/>
                <w:lang w:val="en"/>
              </w:rPr>
              <w:t>Low Risk</w:t>
            </w:r>
          </w:p>
        </w:tc>
        <w:tc>
          <w:tcPr>
            <w:tcW w:w="2006" w:type="dxa"/>
          </w:tcPr>
          <w:p w14:paraId="384777E5" w14:textId="77777777" w:rsidR="00151E13" w:rsidRPr="00892B72" w:rsidRDefault="00151E13">
            <w:pPr>
              <w:spacing w:before="240" w:after="240"/>
              <w:ind w:right="231"/>
              <w:rPr>
                <w:color w:val="1F1F1F"/>
                <w:lang w:val="en"/>
              </w:rPr>
            </w:pPr>
            <w:r w:rsidRPr="00892B72">
              <w:rPr>
                <w:color w:val="1F1F1F"/>
                <w:lang w:val="en"/>
              </w:rPr>
              <w:t>0.00 - 0.33</w:t>
            </w:r>
          </w:p>
        </w:tc>
        <w:tc>
          <w:tcPr>
            <w:tcW w:w="1981" w:type="dxa"/>
          </w:tcPr>
          <w:p w14:paraId="28CF54B9" w14:textId="77777777" w:rsidR="00151E13" w:rsidRPr="00892B72" w:rsidRDefault="00151E13">
            <w:pPr>
              <w:spacing w:before="240" w:after="240"/>
              <w:ind w:right="231"/>
              <w:rPr>
                <w:color w:val="1F1F1F"/>
                <w:lang w:val="en"/>
              </w:rPr>
            </w:pPr>
            <w:r w:rsidRPr="00892B72">
              <w:rPr>
                <w:color w:val="1F1F1F"/>
                <w:lang w:val="en"/>
              </w:rPr>
              <w:t>60-70%</w:t>
            </w:r>
          </w:p>
        </w:tc>
        <w:tc>
          <w:tcPr>
            <w:tcW w:w="2474" w:type="dxa"/>
          </w:tcPr>
          <w:p w14:paraId="34F21074" w14:textId="77777777" w:rsidR="00151E13" w:rsidRPr="00892B72" w:rsidRDefault="00151E13">
            <w:pPr>
              <w:spacing w:before="240" w:after="240"/>
              <w:ind w:right="231"/>
              <w:rPr>
                <w:color w:val="1F1F1F"/>
                <w:lang w:val="en"/>
              </w:rPr>
            </w:pPr>
            <w:r w:rsidRPr="00892B72">
              <w:rPr>
                <w:color w:val="1F1F1F"/>
                <w:lang w:val="en"/>
              </w:rPr>
              <w:t>Standard preventive care, lifestyle counseling</w:t>
            </w:r>
          </w:p>
        </w:tc>
        <w:tc>
          <w:tcPr>
            <w:tcW w:w="2020" w:type="dxa"/>
          </w:tcPr>
          <w:p w14:paraId="456E0469" w14:textId="77777777" w:rsidR="00151E13" w:rsidRPr="00892B72" w:rsidRDefault="00151E13">
            <w:pPr>
              <w:spacing w:before="240" w:after="240"/>
              <w:ind w:right="231"/>
              <w:rPr>
                <w:color w:val="1F1F1F"/>
                <w:lang w:val="en"/>
              </w:rPr>
            </w:pPr>
            <w:r w:rsidRPr="00892B72">
              <w:rPr>
                <w:color w:val="1F1F1F"/>
                <w:lang w:val="en"/>
              </w:rPr>
              <w:t>Annual assessment</w:t>
            </w:r>
          </w:p>
        </w:tc>
      </w:tr>
      <w:tr w:rsidR="00151E13" w:rsidRPr="00892B72" w14:paraId="1A01610D" w14:textId="77777777">
        <w:trPr>
          <w:trHeight w:val="2295"/>
        </w:trPr>
        <w:tc>
          <w:tcPr>
            <w:tcW w:w="1806" w:type="dxa"/>
          </w:tcPr>
          <w:p w14:paraId="6D917CFD" w14:textId="77777777" w:rsidR="00151E13" w:rsidRPr="00892B72" w:rsidRDefault="00151E13">
            <w:pPr>
              <w:spacing w:before="240" w:after="240"/>
              <w:ind w:right="231"/>
              <w:rPr>
                <w:color w:val="1F1F1F"/>
                <w:lang w:val="en"/>
              </w:rPr>
            </w:pPr>
            <w:r w:rsidRPr="00892B72">
              <w:rPr>
                <w:color w:val="1F1F1F"/>
                <w:lang w:val="en"/>
              </w:rPr>
              <w:t>Moderate Risk</w:t>
            </w:r>
          </w:p>
        </w:tc>
        <w:tc>
          <w:tcPr>
            <w:tcW w:w="2006" w:type="dxa"/>
          </w:tcPr>
          <w:p w14:paraId="0174EB07" w14:textId="77777777" w:rsidR="00151E13" w:rsidRPr="00892B72" w:rsidRDefault="00151E13">
            <w:pPr>
              <w:spacing w:before="240" w:after="240"/>
              <w:ind w:right="231"/>
              <w:rPr>
                <w:color w:val="1F1F1F"/>
                <w:lang w:val="en"/>
              </w:rPr>
            </w:pPr>
            <w:r w:rsidRPr="00892B72">
              <w:rPr>
                <w:color w:val="1F1F1F"/>
                <w:lang w:val="en"/>
              </w:rPr>
              <w:t>0.33 - 0.66</w:t>
            </w:r>
          </w:p>
        </w:tc>
        <w:tc>
          <w:tcPr>
            <w:tcW w:w="1981" w:type="dxa"/>
          </w:tcPr>
          <w:p w14:paraId="7D691B6B" w14:textId="77777777" w:rsidR="00151E13" w:rsidRPr="00892B72" w:rsidRDefault="00151E13">
            <w:pPr>
              <w:spacing w:before="240" w:after="240"/>
              <w:ind w:right="231"/>
              <w:rPr>
                <w:color w:val="1F1F1F"/>
                <w:lang w:val="en"/>
              </w:rPr>
            </w:pPr>
            <w:r w:rsidRPr="00892B72">
              <w:rPr>
                <w:color w:val="1F1F1F"/>
                <w:lang w:val="en"/>
              </w:rPr>
              <w:t>20-30%</w:t>
            </w:r>
          </w:p>
        </w:tc>
        <w:tc>
          <w:tcPr>
            <w:tcW w:w="2474" w:type="dxa"/>
          </w:tcPr>
          <w:p w14:paraId="444DDAB2" w14:textId="77777777" w:rsidR="00151E13" w:rsidRPr="00892B72" w:rsidRDefault="00151E13">
            <w:pPr>
              <w:spacing w:before="240" w:after="240"/>
              <w:ind w:right="231"/>
              <w:rPr>
                <w:color w:val="1F1F1F"/>
                <w:lang w:val="en"/>
              </w:rPr>
            </w:pPr>
            <w:r w:rsidRPr="00892B72">
              <w:rPr>
                <w:color w:val="1F1F1F"/>
                <w:lang w:val="en"/>
              </w:rPr>
              <w:t>Enhanced monitoring, diagnostic testing, risk factor modification</w:t>
            </w:r>
          </w:p>
        </w:tc>
        <w:tc>
          <w:tcPr>
            <w:tcW w:w="2020" w:type="dxa"/>
          </w:tcPr>
          <w:p w14:paraId="79CBC995" w14:textId="77777777" w:rsidR="00151E13" w:rsidRPr="00892B72" w:rsidRDefault="00151E13">
            <w:pPr>
              <w:spacing w:before="240" w:after="240"/>
              <w:ind w:right="231"/>
              <w:rPr>
                <w:color w:val="1F1F1F"/>
                <w:lang w:val="en"/>
              </w:rPr>
            </w:pPr>
            <w:r w:rsidRPr="00892B72">
              <w:rPr>
                <w:color w:val="1F1F1F"/>
                <w:lang w:val="en"/>
              </w:rPr>
              <w:t>6-month follow-up</w:t>
            </w:r>
          </w:p>
        </w:tc>
      </w:tr>
      <w:tr w:rsidR="00151E13" w:rsidRPr="00892B72" w14:paraId="781F1128" w14:textId="77777777">
        <w:trPr>
          <w:trHeight w:val="2600"/>
        </w:trPr>
        <w:tc>
          <w:tcPr>
            <w:tcW w:w="1806" w:type="dxa"/>
          </w:tcPr>
          <w:p w14:paraId="41F4F661" w14:textId="77777777" w:rsidR="00151E13" w:rsidRPr="00892B72" w:rsidRDefault="00151E13">
            <w:pPr>
              <w:spacing w:before="240" w:after="240"/>
              <w:ind w:right="231"/>
              <w:rPr>
                <w:color w:val="1F1F1F"/>
                <w:lang w:val="en"/>
              </w:rPr>
            </w:pPr>
            <w:r w:rsidRPr="00892B72">
              <w:rPr>
                <w:color w:val="1F1F1F"/>
                <w:lang w:val="en"/>
              </w:rPr>
              <w:t>High Risk</w:t>
            </w:r>
          </w:p>
        </w:tc>
        <w:tc>
          <w:tcPr>
            <w:tcW w:w="2006" w:type="dxa"/>
          </w:tcPr>
          <w:p w14:paraId="6D9CCC17" w14:textId="77777777" w:rsidR="00151E13" w:rsidRPr="00892B72" w:rsidRDefault="00151E13">
            <w:pPr>
              <w:spacing w:before="240" w:after="240"/>
              <w:ind w:right="231"/>
              <w:rPr>
                <w:color w:val="1F1F1F"/>
                <w:lang w:val="en"/>
              </w:rPr>
            </w:pPr>
            <w:r w:rsidRPr="00892B72">
              <w:rPr>
                <w:color w:val="1F1F1F"/>
                <w:lang w:val="en"/>
              </w:rPr>
              <w:t>0.66 - 1.00</w:t>
            </w:r>
          </w:p>
        </w:tc>
        <w:tc>
          <w:tcPr>
            <w:tcW w:w="1981" w:type="dxa"/>
          </w:tcPr>
          <w:p w14:paraId="334E7AED" w14:textId="77777777" w:rsidR="00151E13" w:rsidRPr="00892B72" w:rsidRDefault="00151E13">
            <w:pPr>
              <w:spacing w:before="240" w:after="240"/>
              <w:ind w:right="231"/>
              <w:rPr>
                <w:color w:val="1F1F1F"/>
                <w:lang w:val="en"/>
              </w:rPr>
            </w:pPr>
            <w:r w:rsidRPr="00892B72">
              <w:rPr>
                <w:color w:val="1F1F1F"/>
                <w:lang w:val="en"/>
              </w:rPr>
              <w:t>5-15%</w:t>
            </w:r>
          </w:p>
        </w:tc>
        <w:tc>
          <w:tcPr>
            <w:tcW w:w="2474" w:type="dxa"/>
          </w:tcPr>
          <w:p w14:paraId="64CEB794" w14:textId="77777777" w:rsidR="00151E13" w:rsidRPr="00892B72" w:rsidRDefault="00151E13">
            <w:pPr>
              <w:spacing w:before="240" w:after="240"/>
              <w:ind w:right="231"/>
              <w:rPr>
                <w:color w:val="1F1F1F"/>
                <w:lang w:val="en"/>
              </w:rPr>
            </w:pPr>
            <w:r w:rsidRPr="00892B72">
              <w:rPr>
                <w:color w:val="1F1F1F"/>
                <w:lang w:val="en"/>
              </w:rPr>
              <w:t>Immediate clinical evaluation, aggressive intervention, specialist referral</w:t>
            </w:r>
          </w:p>
        </w:tc>
        <w:tc>
          <w:tcPr>
            <w:tcW w:w="2020" w:type="dxa"/>
          </w:tcPr>
          <w:p w14:paraId="69658EAA" w14:textId="77777777" w:rsidR="00151E13" w:rsidRPr="00892B72" w:rsidRDefault="00151E13">
            <w:pPr>
              <w:spacing w:before="240" w:after="240"/>
              <w:ind w:right="231"/>
              <w:rPr>
                <w:color w:val="1F1F1F"/>
                <w:lang w:val="en"/>
              </w:rPr>
            </w:pPr>
            <w:r w:rsidRPr="00892B72">
              <w:rPr>
                <w:color w:val="1F1F1F"/>
                <w:lang w:val="en"/>
              </w:rPr>
              <w:t>Monthly monitoring</w:t>
            </w:r>
          </w:p>
        </w:tc>
      </w:tr>
    </w:tbl>
    <w:p w14:paraId="6447E840" w14:textId="77777777" w:rsidR="00151E13" w:rsidRDefault="00151E13" w:rsidP="007539FB">
      <w:pPr>
        <w:spacing w:before="240" w:after="240"/>
        <w:ind w:right="231"/>
        <w:jc w:val="both"/>
        <w:rPr>
          <w:color w:val="1F1F1F"/>
          <w:lang w:val="en"/>
        </w:rPr>
        <w:sectPr w:rsidR="00151E13" w:rsidSect="00151E13">
          <w:type w:val="continuous"/>
          <w:pgSz w:w="11910" w:h="16840"/>
          <w:pgMar w:top="1060" w:right="708" w:bottom="1340" w:left="708" w:header="763" w:footer="1143" w:gutter="0"/>
          <w:cols w:space="720"/>
        </w:sectPr>
      </w:pPr>
    </w:p>
    <w:p w14:paraId="4C47CD17" w14:textId="022253A3" w:rsidR="007539FB" w:rsidRPr="007539FB" w:rsidRDefault="007539FB" w:rsidP="007539FB">
      <w:pPr>
        <w:spacing w:before="240" w:after="240"/>
        <w:ind w:right="231"/>
        <w:jc w:val="both"/>
        <w:rPr>
          <w:color w:val="1F1F1F"/>
          <w:lang w:val="en"/>
        </w:rPr>
      </w:pPr>
      <w:r w:rsidRPr="007539FB">
        <w:rPr>
          <w:color w:val="1F1F1F"/>
          <w:lang w:val="en"/>
        </w:rPr>
        <w:t>SHAP summary visualizations aggregate contributions across the test population, revealing which features most strongly influence predictions and whether high feature values increase or decrease risk. Age consistently emerges as the dominant predictor across cardiovascular and neurodegenerative diseases, reflecting the inexorable accumulation of pathological changes and declining physiological reserve with advancing years. Glycemic control features drive diabetes and kidney disease predictions, while lipid profiles dominate cardiovascular risk assessment. These patterns validate clinical intuition while occasionally revealing unexpected relationships warranting deeper investigation.</w:t>
      </w:r>
    </w:p>
    <w:p w14:paraId="4887F4F9" w14:textId="44FC9027" w:rsidR="007539FB" w:rsidRDefault="007539FB" w:rsidP="007539FB">
      <w:pPr>
        <w:pStyle w:val="ListParagraph"/>
        <w:numPr>
          <w:ilvl w:val="0"/>
          <w:numId w:val="39"/>
        </w:numPr>
        <w:spacing w:before="240" w:after="240"/>
        <w:ind w:left="284" w:right="231" w:hanging="142"/>
        <w:rPr>
          <w:color w:val="1F1F1F"/>
          <w:lang w:val="en"/>
        </w:rPr>
      </w:pPr>
      <w:r w:rsidRPr="007539FB">
        <w:rPr>
          <w:color w:val="1F1F1F"/>
          <w:lang w:val="en"/>
        </w:rPr>
        <w:t>Risk Stratification and Clinical Decision Support</w:t>
      </w:r>
    </w:p>
    <w:p w14:paraId="58F6E4CE" w14:textId="6A230EB2" w:rsidR="00892B72" w:rsidRDefault="00892B72" w:rsidP="00892B72">
      <w:pPr>
        <w:spacing w:before="240" w:after="240"/>
        <w:ind w:right="231"/>
        <w:jc w:val="both"/>
        <w:rPr>
          <w:color w:val="1F1F1F"/>
          <w:lang w:val="en"/>
        </w:rPr>
      </w:pPr>
      <w:r w:rsidRPr="00892B72">
        <w:rPr>
          <w:color w:val="1F1F1F"/>
          <w:lang w:val="en"/>
        </w:rPr>
        <w:t xml:space="preserve">Raw probability predictions undergo calibration and discretization into clinically actionable risk categories that align with existing care delivery </w:t>
      </w:r>
      <w:r w:rsidRPr="00892B72">
        <w:rPr>
          <w:color w:val="1F1F1F"/>
          <w:lang w:val="en"/>
        </w:rPr>
        <w:t>workflows. The three-tier stratification system classifies patients as low, moderate, or high risk based on thresholds selected through clinical validation studies balancing intervention costs against outcome benefits.</w:t>
      </w:r>
      <w:r w:rsidRPr="00892B72">
        <w:t xml:space="preserve"> </w:t>
      </w:r>
      <w:r w:rsidRPr="00892B72">
        <w:rPr>
          <w:color w:val="1F1F1F"/>
          <w:lang w:val="en"/>
        </w:rPr>
        <w:t>This stratification enables resource allocation that concentrates intensive interventions on high-risk populations most likely to benefit while avoiding unnecessary medicalization of low-risk individuals through excessive testing and treatment. The framework provides decision support rather than autonomous decision-making, augmenting clinical judgment with data-driven risk quantification while preserving physician authority over final care decisions.</w:t>
      </w:r>
    </w:p>
    <w:p w14:paraId="1205C204" w14:textId="77777777" w:rsidR="009972C3" w:rsidRPr="00892B72" w:rsidRDefault="009972C3" w:rsidP="00892B72">
      <w:pPr>
        <w:spacing w:before="240" w:after="240"/>
        <w:ind w:right="231"/>
        <w:jc w:val="both"/>
        <w:rPr>
          <w:color w:val="1F1F1F"/>
          <w:lang w:val="en"/>
        </w:rPr>
      </w:pPr>
    </w:p>
    <w:p w14:paraId="12B4A10F" w14:textId="108E3779" w:rsidR="00892B72" w:rsidRPr="00892B72" w:rsidRDefault="00892B72" w:rsidP="00892B72">
      <w:pPr>
        <w:pStyle w:val="ListParagraph"/>
        <w:numPr>
          <w:ilvl w:val="0"/>
          <w:numId w:val="41"/>
        </w:numPr>
        <w:spacing w:before="240" w:after="240"/>
        <w:ind w:left="284" w:right="231" w:hanging="142"/>
        <w:jc w:val="center"/>
        <w:rPr>
          <w:color w:val="1F1F1F"/>
          <w:lang w:val="en"/>
        </w:rPr>
      </w:pPr>
      <w:r w:rsidRPr="00892B72">
        <w:rPr>
          <w:color w:val="1F1F1F"/>
          <w:lang w:val="en"/>
        </w:rPr>
        <w:t>Applications</w:t>
      </w:r>
    </w:p>
    <w:p w14:paraId="36937758" w14:textId="77777777" w:rsidR="00892B72" w:rsidRPr="00892B72" w:rsidRDefault="00892B72" w:rsidP="00892B72">
      <w:pPr>
        <w:spacing w:before="240" w:after="240"/>
        <w:ind w:right="231"/>
        <w:jc w:val="both"/>
        <w:rPr>
          <w:color w:val="1F1F1F"/>
          <w:lang w:val="en"/>
        </w:rPr>
      </w:pPr>
      <w:r w:rsidRPr="00892B72">
        <w:rPr>
          <w:color w:val="1F1F1F"/>
          <w:lang w:val="en"/>
        </w:rPr>
        <w:t>The machine learning system, which proactively assesses a patient's high-risk status for twelve highly correlated chronic diseases across Neuro-</w:t>
      </w:r>
      <w:r w:rsidRPr="00892B72">
        <w:rPr>
          <w:color w:val="1F1F1F"/>
          <w:lang w:val="en"/>
        </w:rPr>
        <w:lastRenderedPageBreak/>
        <w:t>Cognitive, Cardiovascular, and Metabolic domains, has diverse applications across the healthcare ecosystem and related industries. This integrated multi-domain approach moves beyond traditional single-disease predictions to enable truly preventative and personalized interventions.</w:t>
      </w:r>
    </w:p>
    <w:p w14:paraId="51475A21" w14:textId="07DC5291" w:rsidR="00892B72" w:rsidRPr="00892B72" w:rsidRDefault="00892B72" w:rsidP="00892B72">
      <w:pPr>
        <w:pStyle w:val="ListParagraph"/>
        <w:numPr>
          <w:ilvl w:val="1"/>
          <w:numId w:val="41"/>
        </w:numPr>
        <w:spacing w:before="240" w:after="240"/>
        <w:ind w:left="284" w:right="231"/>
        <w:rPr>
          <w:color w:val="1F1F1F"/>
          <w:lang w:val="en"/>
        </w:rPr>
      </w:pPr>
      <w:r w:rsidRPr="00892B72">
        <w:rPr>
          <w:color w:val="1F1F1F"/>
          <w:lang w:val="en"/>
        </w:rPr>
        <w:t>Clinical Decision Support (Healthcare)</w:t>
      </w:r>
    </w:p>
    <w:p w14:paraId="3959974E" w14:textId="77777777" w:rsidR="00892B72" w:rsidRPr="00892B72" w:rsidRDefault="00892B72" w:rsidP="00892B72">
      <w:pPr>
        <w:spacing w:before="240" w:after="240"/>
        <w:ind w:right="231"/>
        <w:jc w:val="both"/>
        <w:rPr>
          <w:color w:val="1F1F1F"/>
          <w:lang w:val="en"/>
        </w:rPr>
      </w:pPr>
      <w:r w:rsidRPr="00892B72">
        <w:rPr>
          <w:color w:val="1F1F1F"/>
          <w:lang w:val="en"/>
        </w:rPr>
        <w:t>This advanced multi-label framework is designed to deliver clinically meaningful risk stratification reports directly to healthcare providers.</w:t>
      </w:r>
    </w:p>
    <w:p w14:paraId="3D0E53B8" w14:textId="77777777" w:rsidR="00892B72" w:rsidRPr="00892B72" w:rsidRDefault="00892B72" w:rsidP="00892B72">
      <w:pPr>
        <w:spacing w:before="240" w:after="240"/>
        <w:ind w:right="231"/>
        <w:jc w:val="both"/>
        <w:rPr>
          <w:color w:val="1F1F1F"/>
          <w:lang w:val="en"/>
        </w:rPr>
      </w:pPr>
      <w:r w:rsidRPr="00892B72">
        <w:rPr>
          <w:color w:val="1F1F1F"/>
          <w:lang w:val="en"/>
        </w:rPr>
        <w:t>How applied: Model outputs are integrated into electronic health record triage widgets or dashboards. This provides instant, actionable intelligence to medical staff. Example: A nurse inputs recent patient data, such as biomarker values and survey responses, and receives multi-disease risk flags. These flags are accompanied by powerful explanations, revealing which specific patient characteristics drove the elevated risk assessment, thereby enabling clinical judgment. Benefits: Facilitates prioritized interventions and supports the early detection of systemic health vulnerabilities before conditions manifest.</w:t>
      </w:r>
    </w:p>
    <w:p w14:paraId="69AE7F26" w14:textId="77777777" w:rsidR="00892B72" w:rsidRPr="00892B72" w:rsidRDefault="00892B72" w:rsidP="00892B72">
      <w:pPr>
        <w:pStyle w:val="ListParagraph"/>
        <w:numPr>
          <w:ilvl w:val="1"/>
          <w:numId w:val="41"/>
        </w:numPr>
        <w:spacing w:before="240" w:after="240"/>
        <w:ind w:left="284" w:right="231"/>
        <w:rPr>
          <w:color w:val="1F1F1F"/>
          <w:lang w:val="en"/>
        </w:rPr>
      </w:pPr>
      <w:r w:rsidRPr="00892B72">
        <w:rPr>
          <w:color w:val="1F1F1F"/>
          <w:lang w:val="en"/>
        </w:rPr>
        <w:t>Public Health Surveillance</w:t>
      </w:r>
    </w:p>
    <w:p w14:paraId="6650D5AE" w14:textId="77777777" w:rsidR="00892B72" w:rsidRPr="00892B72" w:rsidRDefault="00892B72" w:rsidP="00892B72">
      <w:pPr>
        <w:spacing w:before="240" w:after="240"/>
        <w:ind w:right="231"/>
        <w:jc w:val="both"/>
        <w:rPr>
          <w:color w:val="1F1F1F"/>
          <w:lang w:val="en"/>
        </w:rPr>
      </w:pPr>
      <w:r w:rsidRPr="00892B72">
        <w:rPr>
          <w:color w:val="1F1F1F"/>
          <w:lang w:val="en"/>
        </w:rPr>
        <w:t>The capacity to assess individual risk across a population provides a powerful tool for public health officials seeking to optimize resource allocation.</w:t>
      </w:r>
    </w:p>
    <w:p w14:paraId="46225E3C" w14:textId="77777777" w:rsidR="00892B72" w:rsidRPr="00892B72" w:rsidRDefault="00892B72" w:rsidP="00892B72">
      <w:pPr>
        <w:spacing w:before="240" w:after="240"/>
        <w:ind w:right="231"/>
        <w:jc w:val="both"/>
        <w:rPr>
          <w:color w:val="1F1F1F"/>
          <w:lang w:val="en"/>
        </w:rPr>
      </w:pPr>
      <w:r w:rsidRPr="00892B72">
        <w:rPr>
          <w:color w:val="1F1F1F"/>
          <w:lang w:val="en"/>
        </w:rPr>
        <w:t>How applied: Per-patient risk scores are aggregated to generate geographic risk visualizations, such as detailed risk heatmaps. These visualizations delineate populations or areas with the highest combined risk burden. Example: A weekly district-level heatmap identifies specific neighborhoods with high cardiovascular and metabolic risk clusters, guiding the deployment of mobile screening clinics or community health outreach teams. Benefits: Enables highly targeted interventions and efficient resource optimization across large populations.</w:t>
      </w:r>
    </w:p>
    <w:p w14:paraId="2F85FE76" w14:textId="77777777" w:rsidR="00892B72" w:rsidRPr="00892B72" w:rsidRDefault="00892B72" w:rsidP="00892B72">
      <w:pPr>
        <w:pStyle w:val="ListParagraph"/>
        <w:numPr>
          <w:ilvl w:val="1"/>
          <w:numId w:val="41"/>
        </w:numPr>
        <w:spacing w:before="240" w:after="240"/>
        <w:ind w:left="284" w:right="231"/>
        <w:rPr>
          <w:color w:val="1F1F1F"/>
          <w:lang w:val="en"/>
        </w:rPr>
      </w:pPr>
      <w:r w:rsidRPr="00892B72">
        <w:rPr>
          <w:color w:val="1F1F1F"/>
          <w:lang w:val="en"/>
        </w:rPr>
        <w:t>Insurance &amp; Risk Underwriting</w:t>
      </w:r>
    </w:p>
    <w:p w14:paraId="427FC677" w14:textId="77777777" w:rsidR="00892B72" w:rsidRPr="00892B72" w:rsidRDefault="00892B72" w:rsidP="00892B72">
      <w:pPr>
        <w:spacing w:before="240" w:after="240"/>
        <w:ind w:right="231"/>
        <w:jc w:val="both"/>
        <w:rPr>
          <w:color w:val="1F1F1F"/>
          <w:lang w:val="en"/>
        </w:rPr>
      </w:pPr>
      <w:r w:rsidRPr="00892B72">
        <w:rPr>
          <w:color w:val="1F1F1F"/>
          <w:lang w:val="en"/>
        </w:rPr>
        <w:t xml:space="preserve">The comprehensive view of multi-domain comorbidity patterns offers insurers a refined </w:t>
      </w:r>
      <w:r w:rsidRPr="00892B72">
        <w:rPr>
          <w:color w:val="1F1F1F"/>
          <w:lang w:val="en"/>
        </w:rPr>
        <w:t>method for risk quantification and preventative strategy design.</w:t>
      </w:r>
    </w:p>
    <w:p w14:paraId="3AED95A7" w14:textId="77777777" w:rsidR="00892B72" w:rsidRPr="00892B72" w:rsidRDefault="00892B72" w:rsidP="00892B72">
      <w:pPr>
        <w:spacing w:before="240" w:after="240"/>
        <w:ind w:right="231"/>
        <w:jc w:val="both"/>
        <w:rPr>
          <w:color w:val="1F1F1F"/>
          <w:lang w:val="en"/>
        </w:rPr>
      </w:pPr>
      <w:r w:rsidRPr="00892B72">
        <w:rPr>
          <w:color w:val="1F1F1F"/>
          <w:lang w:val="en"/>
        </w:rPr>
        <w:t>How applied: Multi-label risk profiles are used to develop precise prevention programs tailored to specific risk categories or to facilitate refined risk underwriting decisions. The continuous risk scales help partition populations into clinically relevant categories. Benefits: Leads to better risk stratification for policyholders, supporting customized health pathways and potentially leading to substantial cost savings by reducing future chronic care expenses.</w:t>
      </w:r>
    </w:p>
    <w:p w14:paraId="4792FA04" w14:textId="77777777" w:rsidR="00892B72" w:rsidRPr="00892B72" w:rsidRDefault="00892B72" w:rsidP="00892B72">
      <w:pPr>
        <w:pStyle w:val="ListParagraph"/>
        <w:numPr>
          <w:ilvl w:val="1"/>
          <w:numId w:val="41"/>
        </w:numPr>
        <w:spacing w:before="240" w:after="240"/>
        <w:ind w:left="284" w:right="231"/>
        <w:rPr>
          <w:color w:val="1F1F1F"/>
          <w:lang w:val="en"/>
        </w:rPr>
      </w:pPr>
      <w:r w:rsidRPr="00892B72">
        <w:rPr>
          <w:color w:val="1F1F1F"/>
          <w:lang w:val="en"/>
        </w:rPr>
        <w:t>Workplace Health Programs &amp; HR</w:t>
      </w:r>
    </w:p>
    <w:p w14:paraId="6C8E36D4" w14:textId="77777777" w:rsidR="00892B72" w:rsidRPr="00892B72" w:rsidRDefault="00892B72" w:rsidP="00892B72">
      <w:pPr>
        <w:spacing w:before="240" w:after="240"/>
        <w:ind w:right="231"/>
        <w:jc w:val="both"/>
        <w:rPr>
          <w:color w:val="1F1F1F"/>
          <w:lang w:val="en"/>
        </w:rPr>
      </w:pPr>
      <w:r w:rsidRPr="00892B72">
        <w:rPr>
          <w:color w:val="1F1F1F"/>
          <w:lang w:val="en"/>
        </w:rPr>
        <w:t>Organizations can leverage this predictive capability to enhance employee well-being, focusing on the prevention of common, costly chronic conditions.</w:t>
      </w:r>
    </w:p>
    <w:p w14:paraId="26DA58E1" w14:textId="77777777" w:rsidR="00892B72" w:rsidRPr="00892B72" w:rsidRDefault="00892B72" w:rsidP="00892B72">
      <w:pPr>
        <w:spacing w:before="240" w:after="240"/>
        <w:ind w:right="231"/>
        <w:jc w:val="both"/>
        <w:rPr>
          <w:color w:val="1F1F1F"/>
          <w:lang w:val="en"/>
        </w:rPr>
      </w:pPr>
      <w:r w:rsidRPr="00892B72">
        <w:rPr>
          <w:color w:val="1F1F1F"/>
          <w:lang w:val="en"/>
        </w:rPr>
        <w:t>How applied: Personalized wellness plans are offered to employees who are flagged for elevated metabolic or cardiovascular risk based on their predictive profiles. These plans may recommend specific lifestyle modifications or screening protocols. Benefits: Supports a healthier workforce, resulting in reduced absenteeism and measurable improved productivity.</w:t>
      </w:r>
    </w:p>
    <w:p w14:paraId="21907EF1" w14:textId="77777777" w:rsidR="00892B72" w:rsidRPr="00892B72" w:rsidRDefault="00892B72" w:rsidP="00892B72">
      <w:pPr>
        <w:pStyle w:val="ListParagraph"/>
        <w:numPr>
          <w:ilvl w:val="1"/>
          <w:numId w:val="41"/>
        </w:numPr>
        <w:spacing w:before="240" w:after="240"/>
        <w:ind w:left="284" w:right="231"/>
        <w:rPr>
          <w:color w:val="1F1F1F"/>
          <w:lang w:val="en"/>
        </w:rPr>
      </w:pPr>
      <w:r w:rsidRPr="00892B72">
        <w:rPr>
          <w:color w:val="1F1F1F"/>
          <w:lang w:val="en"/>
        </w:rPr>
        <w:t>Research &amp; Clinical Trials Screening</w:t>
      </w:r>
    </w:p>
    <w:p w14:paraId="3F6296CD" w14:textId="77777777" w:rsidR="00892B72" w:rsidRPr="00892B72" w:rsidRDefault="00892B72" w:rsidP="00892B72">
      <w:pPr>
        <w:spacing w:before="240" w:after="240"/>
        <w:ind w:right="231"/>
        <w:jc w:val="both"/>
        <w:rPr>
          <w:color w:val="1F1F1F"/>
          <w:lang w:val="en"/>
        </w:rPr>
      </w:pPr>
      <w:r w:rsidRPr="00892B72">
        <w:rPr>
          <w:color w:val="1F1F1F"/>
          <w:lang w:val="en"/>
        </w:rPr>
        <w:t>The rigorous risk assessment framework is valuable for clinical research, allowing researchers to select appropriate cohorts for studies.</w:t>
      </w:r>
    </w:p>
    <w:p w14:paraId="38CA6D3B" w14:textId="4440199A" w:rsidR="00892B72" w:rsidRDefault="00892B72" w:rsidP="00892B72">
      <w:pPr>
        <w:spacing w:before="240" w:after="240"/>
        <w:ind w:right="231"/>
        <w:jc w:val="both"/>
        <w:rPr>
          <w:color w:val="1F1F1F"/>
          <w:lang w:val="en"/>
        </w:rPr>
      </w:pPr>
      <w:r w:rsidRPr="00892B72">
        <w:rPr>
          <w:color w:val="1F1F1F"/>
          <w:lang w:val="en"/>
        </w:rPr>
        <w:t>How applied: The model can be used to pre-screen and stratify trial cohorts based on their combined disease risk. This ensures that studies enroll participants who accurately reflect the target vulnerability or disease trajectory. Benefits: Creates enriched trial populations and leads to improved signal detection in therapeutic studies, accelerating the development of new treatments.</w:t>
      </w:r>
    </w:p>
    <w:p w14:paraId="56121F75" w14:textId="77777777" w:rsidR="009972C3" w:rsidRDefault="009972C3" w:rsidP="00892B72">
      <w:pPr>
        <w:spacing w:before="240" w:after="240"/>
        <w:ind w:right="231"/>
        <w:jc w:val="both"/>
        <w:rPr>
          <w:color w:val="1F1F1F"/>
          <w:lang w:val="en"/>
        </w:rPr>
      </w:pPr>
    </w:p>
    <w:p w14:paraId="4131E80E" w14:textId="77777777" w:rsidR="002B0D69" w:rsidRDefault="002B0D69" w:rsidP="00892B72">
      <w:pPr>
        <w:spacing w:before="240" w:after="240"/>
        <w:ind w:right="231"/>
        <w:jc w:val="both"/>
        <w:rPr>
          <w:color w:val="1F1F1F"/>
          <w:lang w:val="en"/>
        </w:rPr>
      </w:pPr>
    </w:p>
    <w:p w14:paraId="47748E1B" w14:textId="77777777" w:rsidR="002B0D69" w:rsidRPr="00892B72" w:rsidRDefault="002B0D69" w:rsidP="00892B72">
      <w:pPr>
        <w:spacing w:before="240" w:after="240"/>
        <w:ind w:right="231"/>
        <w:jc w:val="both"/>
        <w:rPr>
          <w:color w:val="1F1F1F"/>
          <w:lang w:val="en"/>
        </w:rPr>
      </w:pPr>
    </w:p>
    <w:p w14:paraId="34571E04" w14:textId="7262AC04" w:rsidR="00892B72" w:rsidRPr="00892B72" w:rsidRDefault="00892B72" w:rsidP="00892B72">
      <w:pPr>
        <w:pStyle w:val="ListParagraph"/>
        <w:numPr>
          <w:ilvl w:val="0"/>
          <w:numId w:val="41"/>
        </w:numPr>
        <w:spacing w:before="240" w:after="240"/>
        <w:ind w:left="284" w:right="231" w:hanging="142"/>
        <w:jc w:val="center"/>
        <w:rPr>
          <w:color w:val="1F1F1F"/>
          <w:sz w:val="24"/>
          <w:szCs w:val="24"/>
          <w:lang w:val="en"/>
        </w:rPr>
      </w:pPr>
      <w:r w:rsidRPr="00892B72">
        <w:rPr>
          <w:color w:val="1F1F1F"/>
          <w:sz w:val="24"/>
          <w:szCs w:val="24"/>
          <w:lang w:val="en"/>
        </w:rPr>
        <w:lastRenderedPageBreak/>
        <w:t>Challenges</w:t>
      </w:r>
    </w:p>
    <w:p w14:paraId="30F225ED" w14:textId="77777777" w:rsidR="00892B72" w:rsidRDefault="00892B72" w:rsidP="00892B72">
      <w:pPr>
        <w:spacing w:before="240" w:after="240"/>
        <w:ind w:right="474"/>
      </w:pPr>
      <w:r>
        <w:t>The development of a multi-label chronic disease prediction system presents several methodological and operational challenges critical for real-world reliability.</w:t>
      </w:r>
    </w:p>
    <w:p w14:paraId="253C6AD1" w14:textId="19DAAC1E" w:rsidR="003C6221" w:rsidRPr="003C6221" w:rsidRDefault="00892B72" w:rsidP="003C6221">
      <w:pPr>
        <w:pStyle w:val="ListParagraph"/>
        <w:numPr>
          <w:ilvl w:val="1"/>
          <w:numId w:val="41"/>
        </w:numPr>
        <w:spacing w:before="240" w:after="240"/>
        <w:ind w:left="426" w:right="474" w:hanging="426"/>
      </w:pPr>
      <w:r w:rsidRPr="003C6221">
        <w:t>Data Quality and Representativeness</w:t>
      </w:r>
    </w:p>
    <w:p w14:paraId="54A5CF9C" w14:textId="531D9E4B" w:rsidR="00892B72" w:rsidRDefault="003C6221" w:rsidP="003C6221">
      <w:pPr>
        <w:spacing w:before="240" w:after="240"/>
        <w:ind w:left="142" w:right="474"/>
      </w:pPr>
      <w:r>
        <w:t xml:space="preserve">It </w:t>
      </w:r>
      <w:r w:rsidR="00892B72">
        <w:t>is compromised because the underlying Behavioral Risk Factor Surveillance System (BRFSS) data is self-reported, leading to inherent missingness and potential response bias. This necessitates robust handling of values and data fusion, which is managed through enhanced data fusion and feature engineering processes that ensure the integrity and usability of the final dataset.</w:t>
      </w:r>
    </w:p>
    <w:p w14:paraId="60EC126A" w14:textId="5B8B5615" w:rsidR="003C6221" w:rsidRDefault="00892B72" w:rsidP="003C6221">
      <w:pPr>
        <w:pStyle w:val="ListParagraph"/>
        <w:numPr>
          <w:ilvl w:val="1"/>
          <w:numId w:val="41"/>
        </w:numPr>
        <w:tabs>
          <w:tab w:val="left" w:pos="142"/>
        </w:tabs>
        <w:spacing w:before="240" w:after="240"/>
        <w:ind w:left="567" w:right="474" w:hanging="425"/>
      </w:pPr>
      <w:r w:rsidRPr="003C6221">
        <w:t>Data Leakage and Overfitting</w:t>
      </w:r>
      <w:r>
        <w:t xml:space="preserve"> </w:t>
      </w:r>
    </w:p>
    <w:p w14:paraId="781A7DB1" w14:textId="17FBAC15" w:rsidR="00892B72" w:rsidRDefault="003C6221" w:rsidP="003C6221">
      <w:pPr>
        <w:spacing w:before="240" w:after="240"/>
        <w:ind w:left="142" w:right="474"/>
      </w:pPr>
      <w:r>
        <w:t>O</w:t>
      </w:r>
      <w:r w:rsidR="00892B72">
        <w:t>ccur</w:t>
      </w:r>
      <w:r>
        <w:t>s</w:t>
      </w:r>
      <w:r w:rsidR="00892B72">
        <w:t xml:space="preserve"> when direct diagnosis indicators are inadvertently included, artificially inflating performance metrics that fail to reflect prospective predictive capability. This issue is systematically mitigated through dedicated leakage detection and final leakage fix scripts, which identify and exclude problematic features to ensure reported accuracy is genuine.</w:t>
      </w:r>
    </w:p>
    <w:p w14:paraId="035C00A2" w14:textId="7B90FD52" w:rsidR="003C6221" w:rsidRPr="003C6221" w:rsidRDefault="00892B72" w:rsidP="003C6221">
      <w:pPr>
        <w:pStyle w:val="ListParagraph"/>
        <w:numPr>
          <w:ilvl w:val="1"/>
          <w:numId w:val="41"/>
        </w:numPr>
        <w:spacing w:before="240" w:after="240"/>
        <w:ind w:left="567" w:right="474"/>
      </w:pPr>
      <w:r w:rsidRPr="003C6221">
        <w:t xml:space="preserve">Rare-class Performance </w:t>
      </w:r>
    </w:p>
    <w:p w14:paraId="2B54F054" w14:textId="352FBC6A" w:rsidR="00892B72" w:rsidRDefault="00892B72" w:rsidP="003C6221">
      <w:pPr>
        <w:spacing w:before="240" w:after="240"/>
        <w:ind w:left="142" w:right="474"/>
      </w:pPr>
      <w:r>
        <w:t>is challenging for low prevalence conditions, such as certain Neuro-Cognitive diseases. These conditions require specialized techniques, like class weighting and focused sampling—implemented through fixed imbalanced models—to enhance the model’s sensitivity toward minority disease classes.</w:t>
      </w:r>
    </w:p>
    <w:p w14:paraId="69DE91D4" w14:textId="7C6335C9" w:rsidR="003C6221" w:rsidRPr="003C6221" w:rsidRDefault="003C6221" w:rsidP="003C6221">
      <w:pPr>
        <w:spacing w:before="240" w:after="240"/>
        <w:ind w:left="142" w:right="474"/>
      </w:pPr>
      <w:r w:rsidRPr="003C6221">
        <w:t xml:space="preserve">5.4 </w:t>
      </w:r>
      <w:r w:rsidR="00892B72" w:rsidRPr="003C6221">
        <w:t xml:space="preserve">Deployment and Integration </w:t>
      </w:r>
    </w:p>
    <w:p w14:paraId="74949842" w14:textId="35466D5E" w:rsidR="00892B72" w:rsidRDefault="00892B72" w:rsidP="003C6221">
      <w:pPr>
        <w:spacing w:before="240" w:after="240"/>
        <w:ind w:left="142" w:right="474"/>
      </w:pPr>
      <w:r>
        <w:t>into diverse clinical environments, such as heterogeneous Electronic Health Records, demands low latency. This requirement is met by utilizing lightweight model exports and API wrappers, facilitated by the application script, which allows for rapid risk assessment at the point of care.</w:t>
      </w:r>
    </w:p>
    <w:p w14:paraId="08D39296" w14:textId="79BEE234" w:rsidR="003C6221" w:rsidRPr="003C6221" w:rsidRDefault="003C6221" w:rsidP="003C6221">
      <w:pPr>
        <w:spacing w:before="240" w:after="240"/>
        <w:ind w:left="142" w:right="474"/>
      </w:pPr>
      <w:r w:rsidRPr="003C6221">
        <w:t xml:space="preserve">5.5 </w:t>
      </w:r>
      <w:r w:rsidR="00892B72" w:rsidRPr="003C6221">
        <w:t xml:space="preserve">Ethical and Fairness Concerns </w:t>
      </w:r>
    </w:p>
    <w:p w14:paraId="03A222B4" w14:textId="1B14D246" w:rsidR="00892B72" w:rsidRDefault="00892B72" w:rsidP="003C6221">
      <w:pPr>
        <w:spacing w:before="240" w:after="240"/>
        <w:ind w:left="142" w:right="474"/>
      </w:pPr>
      <w:r>
        <w:t>must be addressed, as correlations with demographic factors can introduce bias. This is mitigated through rigorous subgroup fairness audits and the delivery of transparent, SHAP-based explanations that reveal precisely which patient characteristics drive risk predictions.</w:t>
      </w:r>
    </w:p>
    <w:p w14:paraId="7E19F747" w14:textId="2A80995C" w:rsidR="00892B72" w:rsidRPr="00892B72" w:rsidRDefault="00892B72" w:rsidP="00892B72">
      <w:pPr>
        <w:pStyle w:val="ListParagraph"/>
        <w:numPr>
          <w:ilvl w:val="0"/>
          <w:numId w:val="41"/>
        </w:numPr>
        <w:spacing w:before="240" w:after="240"/>
        <w:ind w:left="-142" w:right="231" w:hanging="142"/>
        <w:jc w:val="center"/>
        <w:rPr>
          <w:color w:val="1F1F1F"/>
          <w:sz w:val="24"/>
          <w:szCs w:val="24"/>
          <w:lang w:val="en"/>
        </w:rPr>
      </w:pPr>
      <w:r w:rsidRPr="00892B72">
        <w:rPr>
          <w:color w:val="1F1F1F"/>
          <w:sz w:val="24"/>
          <w:szCs w:val="24"/>
          <w:lang w:val="en"/>
        </w:rPr>
        <w:t xml:space="preserve"> Current Trends</w:t>
      </w:r>
    </w:p>
    <w:p w14:paraId="45305F38" w14:textId="77777777" w:rsidR="00892B72" w:rsidRPr="003C6221" w:rsidRDefault="00892B72" w:rsidP="003C6221">
      <w:pPr>
        <w:spacing w:before="240" w:after="240"/>
        <w:ind w:right="474"/>
      </w:pPr>
      <w:r w:rsidRPr="003C6221">
        <w:t>The machine learning system aligns with several critical advancements shaping proactive healthcare risk stratification:</w:t>
      </w:r>
    </w:p>
    <w:p w14:paraId="778C5D7E" w14:textId="5EEB9EE9" w:rsidR="003C6221" w:rsidRDefault="00892B72" w:rsidP="003C6221">
      <w:pPr>
        <w:pStyle w:val="ListParagraph"/>
        <w:numPr>
          <w:ilvl w:val="1"/>
          <w:numId w:val="41"/>
        </w:numPr>
        <w:spacing w:before="240" w:after="240"/>
        <w:ind w:left="426" w:right="474" w:hanging="426"/>
      </w:pPr>
      <w:r w:rsidRPr="003C6221">
        <w:t>Shift to Multi-Disease Risk Assessment</w:t>
      </w:r>
    </w:p>
    <w:p w14:paraId="308E3CAB" w14:textId="77777777" w:rsidR="003C6221" w:rsidRDefault="00892B72" w:rsidP="003C6221">
      <w:pPr>
        <w:spacing w:before="240" w:after="240"/>
        <w:ind w:right="474"/>
      </w:pPr>
      <w:r w:rsidRPr="003C6221">
        <w:t xml:space="preserve"> The industry is moving beyond siloed, single-disease predictions to integrated, multi-label modeling. The developed framework supports this trend by simultaneously assessing a patient’s high-risk status for twelve highly correlated chronic diseases across the Neuro-Cognitive, Cardiovascular, and Metabolic axes, providing a holistic view of systemic vulnerability that traditional approaches often fail to capture.</w:t>
      </w:r>
    </w:p>
    <w:p w14:paraId="467EAFCF" w14:textId="77777777" w:rsidR="003C6221" w:rsidRPr="003C6221" w:rsidRDefault="00892B72" w:rsidP="003C6221">
      <w:pPr>
        <w:pStyle w:val="ListParagraph"/>
        <w:numPr>
          <w:ilvl w:val="1"/>
          <w:numId w:val="41"/>
        </w:numPr>
        <w:tabs>
          <w:tab w:val="left" w:pos="426"/>
        </w:tabs>
        <w:spacing w:before="240" w:after="240"/>
        <w:ind w:left="426" w:right="474" w:hanging="426"/>
        <w:rPr>
          <w:color w:val="1F1F1F"/>
          <w:lang w:val="en"/>
        </w:rPr>
      </w:pPr>
      <w:r w:rsidRPr="003C6221">
        <w:t xml:space="preserve">Mandate for Explainable AI (XAI): Gaining clinician trust requires transparent models. Explainability techniques, notably SHAP analysis, are essential for widespread adoption. This system incorporates comprehensive interpretability analysis to provide clear insights into prediction outcomes, revealing which patient characteristics drive elevated risk scores and enabling healthcare providers to validate </w:t>
      </w:r>
      <w:proofErr w:type="gramStart"/>
      <w:r w:rsidRPr="003C6221">
        <w:t>the clinical</w:t>
      </w:r>
      <w:proofErr w:type="gramEnd"/>
      <w:r w:rsidRPr="003C6221">
        <w:t xml:space="preserve"> reasoning. </w:t>
      </w:r>
    </w:p>
    <w:p w14:paraId="6FE22E5F" w14:textId="77777777" w:rsidR="003C6221" w:rsidRPr="003C6221" w:rsidRDefault="00892B72" w:rsidP="003C6221">
      <w:pPr>
        <w:pStyle w:val="ListParagraph"/>
        <w:numPr>
          <w:ilvl w:val="1"/>
          <w:numId w:val="41"/>
        </w:numPr>
        <w:tabs>
          <w:tab w:val="left" w:pos="426"/>
        </w:tabs>
        <w:spacing w:before="240" w:after="240"/>
        <w:ind w:left="426" w:right="474" w:hanging="426"/>
        <w:rPr>
          <w:color w:val="1F1F1F"/>
          <w:lang w:val="en"/>
        </w:rPr>
      </w:pPr>
      <w:r w:rsidRPr="003C6221">
        <w:t xml:space="preserve">Advanced Data Fusion for Richer Patient Vectors: Modern risk modeling relies on integrating diverse data. The project utilizes sophisticated data fusion and feature engineering processes to combine self-reported behavioral data with calculated clinical biomarker aggregations and temporal features, creating robust predictive vectors that capture disease </w:t>
      </w:r>
      <w:r w:rsidRPr="003C6221">
        <w:lastRenderedPageBreak/>
        <w:t xml:space="preserve">progression patterns. </w:t>
      </w:r>
    </w:p>
    <w:p w14:paraId="4CDD06C4" w14:textId="1A76BDBE" w:rsidR="00892B72" w:rsidRPr="009972C3" w:rsidRDefault="00B41001" w:rsidP="00CB113D">
      <w:pPr>
        <w:pStyle w:val="ListParagraph"/>
        <w:numPr>
          <w:ilvl w:val="1"/>
          <w:numId w:val="41"/>
        </w:numPr>
        <w:tabs>
          <w:tab w:val="left" w:pos="142"/>
        </w:tabs>
        <w:spacing w:before="240" w:after="240"/>
        <w:ind w:left="142" w:right="474" w:firstLine="0"/>
        <w:rPr>
          <w:color w:val="1F1F1F"/>
          <w:lang w:val="en"/>
        </w:rPr>
      </w:pPr>
      <w:r>
        <w:rPr>
          <w:lang w:val="en"/>
        </w:rPr>
        <w:t xml:space="preserve"> </w:t>
      </w:r>
      <w:r w:rsidR="00892B72" w:rsidRPr="003C6221">
        <w:t xml:space="preserve">Focus on Privacy and Deployment: As machine learning models integrate into clinical workflows, there is an emerging standard for Federated and </w:t>
      </w:r>
      <w:proofErr w:type="gramStart"/>
      <w:r w:rsidR="00892B72" w:rsidRPr="003C6221">
        <w:t>privacy</w:t>
      </w:r>
      <w:proofErr w:type="gramEnd"/>
      <w:r w:rsidR="00892B72" w:rsidRPr="003C6221">
        <w:t>-preserving ML to enable multi-institution training while protecting sensitive patient data. This supports the development of production-ready systems designed for secure deployment.</w:t>
      </w:r>
    </w:p>
    <w:p w14:paraId="03DE65B0" w14:textId="77777777" w:rsidR="009972C3" w:rsidRPr="009972C3" w:rsidRDefault="009972C3" w:rsidP="009972C3">
      <w:pPr>
        <w:tabs>
          <w:tab w:val="left" w:pos="142"/>
        </w:tabs>
        <w:spacing w:before="240" w:after="240"/>
        <w:ind w:right="474"/>
        <w:rPr>
          <w:color w:val="1F1F1F"/>
          <w:lang w:val="en"/>
        </w:rPr>
      </w:pPr>
    </w:p>
    <w:p w14:paraId="0F490011" w14:textId="77777777" w:rsidR="00CB113D" w:rsidRPr="003C6221" w:rsidRDefault="00CB113D" w:rsidP="00CB113D">
      <w:pPr>
        <w:pStyle w:val="ListParagraph"/>
        <w:numPr>
          <w:ilvl w:val="0"/>
          <w:numId w:val="45"/>
        </w:numPr>
        <w:tabs>
          <w:tab w:val="left" w:pos="426"/>
        </w:tabs>
        <w:spacing w:before="240" w:after="240"/>
        <w:ind w:right="474"/>
        <w:jc w:val="center"/>
        <w:rPr>
          <w:color w:val="1F1F1F"/>
          <w:lang w:val="en"/>
        </w:rPr>
      </w:pPr>
      <w:r w:rsidRPr="00CB113D">
        <w:rPr>
          <w:color w:val="1F1F1F"/>
          <w:lang w:val="en"/>
        </w:rPr>
        <w:t>Future Directions</w:t>
      </w:r>
    </w:p>
    <w:p w14:paraId="0BA4F6D0" w14:textId="77777777" w:rsidR="00CB113D" w:rsidRPr="00CB113D" w:rsidRDefault="00CB113D" w:rsidP="00CB113D">
      <w:pPr>
        <w:pStyle w:val="ListParagraph"/>
        <w:tabs>
          <w:tab w:val="left" w:pos="426"/>
        </w:tabs>
        <w:spacing w:before="240" w:after="240"/>
        <w:ind w:left="720" w:right="474" w:firstLine="0"/>
        <w:rPr>
          <w:color w:val="1F1F1F"/>
          <w:lang w:val="en"/>
        </w:rPr>
      </w:pPr>
    </w:p>
    <w:p w14:paraId="1500D9DF" w14:textId="77777777" w:rsidR="00CB113D" w:rsidRPr="00CB113D" w:rsidRDefault="00CB113D" w:rsidP="00CB113D">
      <w:pPr>
        <w:pStyle w:val="ListParagraph"/>
        <w:tabs>
          <w:tab w:val="left" w:pos="142"/>
        </w:tabs>
        <w:ind w:left="142" w:firstLine="0"/>
        <w:rPr>
          <w:color w:val="1F1F1F"/>
          <w:lang w:val="en"/>
        </w:rPr>
      </w:pPr>
      <w:r w:rsidRPr="00CB113D">
        <w:rPr>
          <w:color w:val="1F1F1F"/>
          <w:lang w:val="en"/>
        </w:rPr>
        <w:t>The planned evolution of the multi-domain risk stratification system centers on leveraging advanced machine learning architectures and expanding integration capabilities for proactive, real-time clinical use.</w:t>
      </w:r>
    </w:p>
    <w:p w14:paraId="5CB2FFB3" w14:textId="77777777" w:rsidR="00CB113D" w:rsidRPr="00CB113D" w:rsidRDefault="00CB113D" w:rsidP="00CB113D">
      <w:pPr>
        <w:pStyle w:val="ListParagraph"/>
        <w:tabs>
          <w:tab w:val="left" w:pos="142"/>
        </w:tabs>
        <w:ind w:left="142" w:firstLine="0"/>
        <w:rPr>
          <w:color w:val="1F1F1F"/>
          <w:lang w:val="en"/>
        </w:rPr>
      </w:pPr>
      <w:r w:rsidRPr="00CB113D">
        <w:rPr>
          <w:color w:val="1F1F1F"/>
          <w:lang w:val="en"/>
        </w:rPr>
        <w:t xml:space="preserve">A critical step is replacing the current Binary Relevance framework with </w:t>
      </w:r>
      <w:r w:rsidRPr="00CB113D">
        <w:rPr>
          <w:b/>
          <w:bCs/>
          <w:color w:val="1F1F1F"/>
          <w:lang w:val="en"/>
        </w:rPr>
        <w:t>multi-task neural networks</w:t>
      </w:r>
      <w:r w:rsidRPr="00CB113D">
        <w:rPr>
          <w:color w:val="1F1F1F"/>
          <w:lang w:val="en"/>
        </w:rPr>
        <w:t xml:space="preserve">. This new architecture will utilize shared feature representations to capture complex relationships and cross-domain dependencies among the twelve chronic diseases, improving upon the existing independent models. Furthermore, </w:t>
      </w:r>
      <w:r w:rsidRPr="00CB113D">
        <w:rPr>
          <w:b/>
          <w:bCs/>
          <w:color w:val="1F1F1F"/>
          <w:lang w:val="en"/>
        </w:rPr>
        <w:t>Graph Neural Networks</w:t>
      </w:r>
      <w:r w:rsidRPr="00CB113D">
        <w:rPr>
          <w:color w:val="1F1F1F"/>
          <w:lang w:val="en"/>
        </w:rPr>
        <w:t xml:space="preserve"> will be employed to explicitly model the physiological interactions between diseases and features, refining our understanding of comorbidity patterns.</w:t>
      </w:r>
    </w:p>
    <w:p w14:paraId="6B92D1B9" w14:textId="136FFD85" w:rsidR="00151E13" w:rsidRDefault="00CB113D" w:rsidP="00CB113D">
      <w:pPr>
        <w:pStyle w:val="ListParagraph"/>
        <w:tabs>
          <w:tab w:val="left" w:pos="142"/>
        </w:tabs>
        <w:spacing w:before="240" w:after="240"/>
        <w:ind w:left="142" w:right="474" w:firstLine="0"/>
        <w:rPr>
          <w:color w:val="1F1F1F"/>
          <w:lang w:val="en"/>
        </w:rPr>
      </w:pPr>
      <w:r w:rsidRPr="00CB113D">
        <w:rPr>
          <w:color w:val="1F1F1F"/>
          <w:lang w:val="en"/>
        </w:rPr>
        <w:t xml:space="preserve">To scale the system securely across different healthcare institutions, a </w:t>
      </w:r>
      <w:r w:rsidRPr="00CB113D">
        <w:rPr>
          <w:b/>
          <w:bCs/>
          <w:color w:val="1F1F1F"/>
          <w:lang w:val="en"/>
        </w:rPr>
        <w:t>Federated Learning prototype</w:t>
      </w:r>
      <w:r w:rsidRPr="00CB113D">
        <w:rPr>
          <w:color w:val="1F1F1F"/>
          <w:lang w:val="en"/>
        </w:rPr>
        <w:t xml:space="preserve"> is essential, enabling robust multi-hospital training while protecting patient privacy. For deployment at the point of care, </w:t>
      </w:r>
      <w:r w:rsidRPr="00CB113D">
        <w:rPr>
          <w:b/>
          <w:bCs/>
          <w:color w:val="1F1F1F"/>
          <w:lang w:val="en"/>
        </w:rPr>
        <w:t>model distillation</w:t>
      </w:r>
      <w:r w:rsidRPr="00CB113D">
        <w:rPr>
          <w:color w:val="1F1F1F"/>
          <w:lang w:val="en"/>
        </w:rPr>
        <w:t xml:space="preserve"> will be used to create lightweight, fast inference models, suitable for real-time, low-resource environments and exposed via the application framework. Looking forward, the system will integrate </w:t>
      </w:r>
      <w:r w:rsidRPr="00CB113D">
        <w:rPr>
          <w:b/>
          <w:bCs/>
          <w:color w:val="1F1F1F"/>
          <w:lang w:val="en"/>
        </w:rPr>
        <w:t>wearable streaming data</w:t>
      </w:r>
      <w:r w:rsidRPr="00CB113D">
        <w:rPr>
          <w:color w:val="1F1F1F"/>
          <w:lang w:val="en"/>
        </w:rPr>
        <w:t xml:space="preserve"> to enable continuous, dynamic risk forecasting, moving beyond static assessment to longitudinal health tracking.</w:t>
      </w:r>
    </w:p>
    <w:p w14:paraId="499B4DD0" w14:textId="77777777" w:rsidR="00151E13" w:rsidRDefault="00151E13" w:rsidP="00CB113D">
      <w:pPr>
        <w:pStyle w:val="ListParagraph"/>
        <w:tabs>
          <w:tab w:val="left" w:pos="142"/>
        </w:tabs>
        <w:spacing w:before="240" w:after="240"/>
        <w:ind w:left="142" w:right="474" w:firstLine="0"/>
        <w:rPr>
          <w:color w:val="1F1F1F"/>
          <w:lang w:val="en"/>
        </w:rPr>
      </w:pPr>
    </w:p>
    <w:p w14:paraId="069710A0" w14:textId="0FFA017B" w:rsidR="00CB113D" w:rsidRPr="00CB113D" w:rsidRDefault="00CB113D" w:rsidP="00CB113D">
      <w:pPr>
        <w:pStyle w:val="ListParagraph"/>
        <w:numPr>
          <w:ilvl w:val="0"/>
          <w:numId w:val="45"/>
        </w:numPr>
        <w:tabs>
          <w:tab w:val="left" w:pos="142"/>
        </w:tabs>
        <w:spacing w:before="240" w:after="240"/>
        <w:ind w:right="474" w:hanging="153"/>
        <w:jc w:val="center"/>
        <w:rPr>
          <w:color w:val="1F1F1F"/>
          <w:lang w:val="en"/>
        </w:rPr>
      </w:pPr>
      <w:r w:rsidRPr="00CB113D">
        <w:rPr>
          <w:b/>
          <w:bCs/>
          <w:color w:val="1F1F1F"/>
          <w:lang w:val="en"/>
        </w:rPr>
        <w:t>References &amp; Code Availability</w:t>
      </w:r>
    </w:p>
    <w:p w14:paraId="4239DB7B" w14:textId="68A56AB3" w:rsidR="00892B72" w:rsidRDefault="00CB113D" w:rsidP="00CB113D">
      <w:pPr>
        <w:pStyle w:val="ListParagraph"/>
        <w:numPr>
          <w:ilvl w:val="1"/>
          <w:numId w:val="45"/>
        </w:numPr>
        <w:spacing w:before="240" w:after="240"/>
        <w:ind w:left="284" w:right="231" w:hanging="142"/>
        <w:rPr>
          <w:color w:val="1F1F1F"/>
          <w:lang w:val="en"/>
        </w:rPr>
      </w:pPr>
      <w:r w:rsidRPr="00CB113D">
        <w:rPr>
          <w:color w:val="1F1F1F"/>
          <w:lang w:val="en"/>
        </w:rPr>
        <w:t>Code Availability</w:t>
      </w:r>
    </w:p>
    <w:p w14:paraId="6CA2164F" w14:textId="77777777" w:rsidR="00CB113D" w:rsidRPr="00CB113D" w:rsidRDefault="00CB113D" w:rsidP="00CB113D">
      <w:pPr>
        <w:spacing w:before="240" w:after="240"/>
        <w:ind w:right="231"/>
        <w:rPr>
          <w:color w:val="1F1F1F"/>
          <w:lang w:val="en"/>
        </w:rPr>
      </w:pPr>
      <w:r w:rsidRPr="00CB113D">
        <w:rPr>
          <w:color w:val="1F1F1F"/>
          <w:lang w:val="en"/>
        </w:rPr>
        <w:t>The complete source code and implementation scripts for the CardioNeuro-Axis project should be made available in a dedicated section (typically placed after the Conclusion and before the Academic References).</w:t>
      </w:r>
    </w:p>
    <w:p w14:paraId="213EC219" w14:textId="77777777" w:rsidR="00CB113D" w:rsidRPr="00CB113D" w:rsidRDefault="00CB113D" w:rsidP="00CB113D">
      <w:pPr>
        <w:spacing w:before="240" w:after="240"/>
        <w:ind w:right="231"/>
        <w:rPr>
          <w:color w:val="1F1F1F"/>
          <w:lang w:val="en"/>
        </w:rPr>
      </w:pPr>
      <w:r w:rsidRPr="00CB113D">
        <w:rPr>
          <w:color w:val="1F1F1F"/>
          <w:lang w:val="en"/>
        </w:rPr>
        <w:t>The project develops a production-ready Machine Learning system for proactive healthcare risk stratification. Instead of predicting a single disease, the model simultaneously assesses a patient's high-risk status for 12 highly correlated chronic diseases across the Neuro-Cognitive, Cardiovascular, and Metabolic domains.</w:t>
      </w:r>
    </w:p>
    <w:p w14:paraId="53AB17C8" w14:textId="77777777" w:rsidR="00CB113D" w:rsidRDefault="00CB113D" w:rsidP="00CB113D">
      <w:pPr>
        <w:spacing w:before="240" w:after="240"/>
        <w:ind w:right="231"/>
        <w:rPr>
          <w:color w:val="1F1F1F"/>
          <w:lang w:val="en"/>
        </w:rPr>
      </w:pPr>
      <w:r w:rsidRPr="00CB113D">
        <w:rPr>
          <w:color w:val="1F1F1F"/>
          <w:lang w:val="en"/>
        </w:rPr>
        <w:t>The code repository contains essential components of the pipeline referenced throughout the project:</w:t>
      </w:r>
      <w:r>
        <w:rPr>
          <w:color w:val="1F1F1F"/>
          <w:lang w:val="en"/>
        </w:rPr>
        <w:t xml:space="preserve"> </w:t>
      </w:r>
    </w:p>
    <w:p w14:paraId="05BD8B57" w14:textId="77777777" w:rsidR="00CB113D" w:rsidRPr="00CB113D" w:rsidRDefault="00CB113D" w:rsidP="00CB113D">
      <w:pPr>
        <w:pStyle w:val="ListParagraph"/>
        <w:numPr>
          <w:ilvl w:val="0"/>
          <w:numId w:val="48"/>
        </w:numPr>
        <w:spacing w:before="240" w:after="240"/>
        <w:ind w:left="284" w:right="231" w:hanging="142"/>
        <w:rPr>
          <w:color w:val="00B050"/>
          <w:lang w:val="en"/>
        </w:rPr>
      </w:pPr>
      <w:r w:rsidRPr="00CB113D">
        <w:rPr>
          <w:color w:val="00B050"/>
          <w:lang w:val="en"/>
        </w:rPr>
        <w:t xml:space="preserve">feature_engineering.py </w:t>
      </w:r>
    </w:p>
    <w:p w14:paraId="6953A10B" w14:textId="77777777" w:rsidR="00CB113D" w:rsidRPr="00CB113D" w:rsidRDefault="00CB113D" w:rsidP="00CB113D">
      <w:pPr>
        <w:pStyle w:val="ListParagraph"/>
        <w:numPr>
          <w:ilvl w:val="0"/>
          <w:numId w:val="48"/>
        </w:numPr>
        <w:spacing w:before="240" w:after="240"/>
        <w:ind w:left="284" w:right="231" w:hanging="142"/>
        <w:rPr>
          <w:color w:val="00B050"/>
          <w:lang w:val="en"/>
        </w:rPr>
      </w:pPr>
      <w:r w:rsidRPr="00CB113D">
        <w:rPr>
          <w:color w:val="00B050"/>
          <w:lang w:val="en"/>
        </w:rPr>
        <w:t xml:space="preserve">enhanced_data_fusion.py </w:t>
      </w:r>
    </w:p>
    <w:p w14:paraId="29D0C160" w14:textId="77777777" w:rsidR="00CB113D" w:rsidRPr="00CB113D" w:rsidRDefault="00CB113D" w:rsidP="00CB113D">
      <w:pPr>
        <w:pStyle w:val="ListParagraph"/>
        <w:numPr>
          <w:ilvl w:val="0"/>
          <w:numId w:val="48"/>
        </w:numPr>
        <w:spacing w:before="240" w:after="240"/>
        <w:ind w:left="284" w:right="231" w:hanging="142"/>
        <w:rPr>
          <w:color w:val="00B050"/>
          <w:lang w:val="en"/>
        </w:rPr>
      </w:pPr>
      <w:r w:rsidRPr="00CB113D">
        <w:rPr>
          <w:color w:val="00B050"/>
          <w:lang w:val="en"/>
        </w:rPr>
        <w:t xml:space="preserve">leakage_detector.py model_training.py </w:t>
      </w:r>
    </w:p>
    <w:p w14:paraId="0134BC72" w14:textId="48561782" w:rsidR="00CB113D" w:rsidRPr="00CB113D" w:rsidRDefault="00CB113D" w:rsidP="00CB113D">
      <w:pPr>
        <w:pStyle w:val="ListParagraph"/>
        <w:numPr>
          <w:ilvl w:val="0"/>
          <w:numId w:val="48"/>
        </w:numPr>
        <w:spacing w:before="240" w:after="240"/>
        <w:ind w:left="284" w:right="231" w:hanging="142"/>
        <w:rPr>
          <w:color w:val="00B050"/>
          <w:lang w:val="en"/>
        </w:rPr>
      </w:pPr>
      <w:r w:rsidRPr="00CB113D">
        <w:rPr>
          <w:color w:val="00B050"/>
          <w:lang w:val="en"/>
        </w:rPr>
        <w:t>app.py</w:t>
      </w:r>
    </w:p>
    <w:p w14:paraId="5F2E1064" w14:textId="77777777" w:rsidR="00CB113D" w:rsidRPr="00CB113D" w:rsidRDefault="00CB113D" w:rsidP="00CB113D">
      <w:pPr>
        <w:spacing w:before="240" w:after="240"/>
        <w:ind w:right="231"/>
        <w:rPr>
          <w:b/>
          <w:bCs/>
          <w:color w:val="1F1F1F"/>
          <w:lang w:val="en"/>
        </w:rPr>
      </w:pPr>
      <w:r w:rsidRPr="00CB113D">
        <w:rPr>
          <w:b/>
          <w:bCs/>
          <w:color w:val="1F1F1F"/>
          <w:lang w:val="en"/>
        </w:rPr>
        <w:t>Code Repository Citation:</w:t>
      </w:r>
    </w:p>
    <w:p w14:paraId="0537C844" w14:textId="77777777" w:rsidR="00CB113D" w:rsidRPr="00CB113D" w:rsidRDefault="00CB113D" w:rsidP="00CB113D">
      <w:pPr>
        <w:spacing w:before="240" w:after="240"/>
        <w:ind w:right="231"/>
        <w:rPr>
          <w:color w:val="1F1F1F"/>
          <w:lang w:val="en"/>
        </w:rPr>
      </w:pPr>
      <w:r w:rsidRPr="00CB113D">
        <w:rPr>
          <w:color w:val="1F1F1F"/>
          <w:lang w:val="en"/>
        </w:rPr>
        <w:t>CardioNeuro-Axis code repository: https://github.com/srtanya-25/CardioNeuro-Axis.</w:t>
      </w:r>
    </w:p>
    <w:p w14:paraId="77F36CDC" w14:textId="480A81EA" w:rsidR="00CB113D" w:rsidRPr="00CB113D" w:rsidRDefault="00CB113D" w:rsidP="00CB113D">
      <w:pPr>
        <w:spacing w:before="240" w:after="240"/>
        <w:ind w:right="231"/>
        <w:rPr>
          <w:color w:val="1F1F1F"/>
          <w:lang w:val="en"/>
        </w:rPr>
      </w:pPr>
      <w:r w:rsidRPr="00CB113D">
        <w:rPr>
          <w:color w:val="1F1F1F"/>
          <w:lang w:val="en"/>
        </w:rPr>
        <w:t>(Optional IEEE Reference Entry): [N] T. Suratkal, “CardioNeuro-Axis: Multi-label chronic disease prediction system,” GitHub repository, 2025. [Online]. Available: https://github.com/srtanya-25/CardioNeuro-Axis</w:t>
      </w:r>
    </w:p>
    <w:p w14:paraId="599FF5CC" w14:textId="006ECB90" w:rsidR="00CB113D" w:rsidRPr="00CB113D" w:rsidRDefault="00CB113D" w:rsidP="00CB113D">
      <w:pPr>
        <w:pStyle w:val="ListParagraph"/>
        <w:numPr>
          <w:ilvl w:val="1"/>
          <w:numId w:val="45"/>
        </w:numPr>
        <w:spacing w:before="240" w:after="240"/>
        <w:ind w:left="284" w:right="231"/>
        <w:rPr>
          <w:color w:val="1F1F1F"/>
          <w:lang w:val="en"/>
        </w:rPr>
      </w:pPr>
      <w:r w:rsidRPr="00CB113D">
        <w:rPr>
          <w:color w:val="1F1F1F"/>
          <w:lang w:val="en"/>
        </w:rPr>
        <w:t xml:space="preserve">Academic References </w:t>
      </w:r>
    </w:p>
    <w:p w14:paraId="3590BC1A" w14:textId="77777777" w:rsidR="00CB113D" w:rsidRPr="00CB113D" w:rsidRDefault="00CB113D" w:rsidP="00CB113D">
      <w:pPr>
        <w:spacing w:before="240" w:after="240"/>
        <w:ind w:right="231"/>
        <w:rPr>
          <w:color w:val="1F1F1F"/>
          <w:lang w:val="en"/>
        </w:rPr>
      </w:pPr>
      <w:r w:rsidRPr="00CB113D">
        <w:rPr>
          <w:color w:val="1F1F1F"/>
          <w:lang w:val="en"/>
        </w:rPr>
        <w:t>The Academic References section should include citations for the primary data source, foundational algorithms used, key methodological tools, and relevant clinical literature pertaining to the multi-domain approach.</w:t>
      </w:r>
    </w:p>
    <w:p w14:paraId="0C8D0B24" w14:textId="5CCD74FC" w:rsidR="00CB113D" w:rsidRPr="00CB113D" w:rsidRDefault="00CB113D" w:rsidP="00CB113D">
      <w:pPr>
        <w:pStyle w:val="ListParagraph"/>
        <w:numPr>
          <w:ilvl w:val="0"/>
          <w:numId w:val="49"/>
        </w:numPr>
        <w:spacing w:before="240" w:after="240"/>
        <w:ind w:left="142" w:right="231" w:hanging="142"/>
        <w:rPr>
          <w:color w:val="1F1F1F"/>
          <w:lang w:val="en"/>
        </w:rPr>
      </w:pPr>
      <w:r w:rsidRPr="00CB113D">
        <w:rPr>
          <w:color w:val="1F1F1F"/>
          <w:lang w:val="en"/>
        </w:rPr>
        <w:t>BRFSS Dataset Citation and Documentation</w:t>
      </w:r>
    </w:p>
    <w:p w14:paraId="19F11875" w14:textId="77777777" w:rsidR="00CB113D" w:rsidRPr="00CB113D" w:rsidRDefault="00CB113D" w:rsidP="00CB113D">
      <w:pPr>
        <w:spacing w:before="240" w:after="240"/>
        <w:ind w:right="231"/>
        <w:rPr>
          <w:color w:val="1F1F1F"/>
          <w:lang w:val="en"/>
        </w:rPr>
      </w:pPr>
      <w:r w:rsidRPr="00CB113D">
        <w:rPr>
          <w:color w:val="1F1F1F"/>
          <w:lang w:val="en"/>
        </w:rPr>
        <w:t>The foundational data source for this multi-</w:t>
      </w:r>
      <w:r w:rsidRPr="00CB113D">
        <w:rPr>
          <w:color w:val="1F1F1F"/>
          <w:lang w:val="en"/>
        </w:rPr>
        <w:lastRenderedPageBreak/>
        <w:t>disease prediction framework is the Behavioral Risk Factor Surveillance System (BRFSS) 2023 dataset, which is a comprehensive population health survey conducted annually by the Centers for Disease Control and Prevention (CDC). The BRFSS represents the continuously conducted health survey system in the world, collecting data on health-related risk behaviors, chronic health conditions, and use of preventative services from over 400,000 adult respondents annually. The authors acknowledge the Centers for Disease Control and Prevention for providing access to this data.</w:t>
      </w:r>
    </w:p>
    <w:p w14:paraId="5143F2B5" w14:textId="0FB926EA" w:rsidR="00CB113D" w:rsidRPr="00151E13" w:rsidRDefault="00CB113D" w:rsidP="00151E13">
      <w:pPr>
        <w:pStyle w:val="ListParagraph"/>
        <w:numPr>
          <w:ilvl w:val="0"/>
          <w:numId w:val="51"/>
        </w:numPr>
        <w:spacing w:before="240" w:after="240"/>
        <w:ind w:left="284" w:right="231" w:hanging="142"/>
        <w:rPr>
          <w:color w:val="1F1F1F"/>
          <w:lang w:val="en"/>
        </w:rPr>
      </w:pPr>
      <w:r w:rsidRPr="00151E13">
        <w:rPr>
          <w:color w:val="1F1F1F"/>
          <w:lang w:val="en"/>
        </w:rPr>
        <w:t xml:space="preserve">XGBoost Algorithm Paper (Chen &amp; </w:t>
      </w:r>
      <w:proofErr w:type="spellStart"/>
      <w:r w:rsidRPr="00151E13">
        <w:rPr>
          <w:color w:val="1F1F1F"/>
          <w:lang w:val="en"/>
        </w:rPr>
        <w:t>Guestrin</w:t>
      </w:r>
      <w:proofErr w:type="spellEnd"/>
      <w:r w:rsidRPr="00151E13">
        <w:rPr>
          <w:color w:val="1F1F1F"/>
          <w:lang w:val="en"/>
        </w:rPr>
        <w:t>)</w:t>
      </w:r>
    </w:p>
    <w:p w14:paraId="10C44BBB" w14:textId="77777777" w:rsidR="00151E13" w:rsidRDefault="00CB113D" w:rsidP="00CB113D">
      <w:pPr>
        <w:spacing w:before="240" w:after="240"/>
        <w:ind w:right="231"/>
        <w:rPr>
          <w:color w:val="1F1F1F"/>
          <w:lang w:val="en"/>
        </w:rPr>
      </w:pPr>
      <w:proofErr w:type="gramStart"/>
      <w:r w:rsidRPr="00CB113D">
        <w:rPr>
          <w:color w:val="1F1F1F"/>
          <w:lang w:val="en"/>
        </w:rPr>
        <w:t>The technical</w:t>
      </w:r>
      <w:proofErr w:type="gramEnd"/>
      <w:r w:rsidRPr="00CB113D">
        <w:rPr>
          <w:color w:val="1F1F1F"/>
          <w:lang w:val="en"/>
        </w:rPr>
        <w:t xml:space="preserve"> architecture uses the Binary Relevance approach with twelve independent XGBoost gradient boosting classifiers. XGBoost was selected as the base classifier due to its superior performance on tabular healthcare data, robust handling of missing values, and computational efficiency.</w:t>
      </w:r>
    </w:p>
    <w:p w14:paraId="6BE763CE" w14:textId="5BC05D8A" w:rsidR="00CB113D" w:rsidRPr="00151E13" w:rsidRDefault="00CB113D" w:rsidP="00151E13">
      <w:pPr>
        <w:pStyle w:val="ListParagraph"/>
        <w:numPr>
          <w:ilvl w:val="0"/>
          <w:numId w:val="52"/>
        </w:numPr>
        <w:spacing w:before="240" w:after="240"/>
        <w:ind w:left="284" w:right="231" w:hanging="66"/>
        <w:rPr>
          <w:color w:val="1F1F1F"/>
          <w:lang w:val="en"/>
        </w:rPr>
      </w:pPr>
      <w:r w:rsidRPr="00151E13">
        <w:rPr>
          <w:color w:val="1F1F1F"/>
          <w:lang w:val="en"/>
        </w:rPr>
        <w:t>SHAP Methodology Paper (Lundberg &amp; Lee)</w:t>
      </w:r>
    </w:p>
    <w:p w14:paraId="414396D6" w14:textId="6F936DA1" w:rsidR="00CB113D" w:rsidRPr="00CB113D" w:rsidRDefault="00CB113D" w:rsidP="00CB113D">
      <w:pPr>
        <w:spacing w:before="240" w:after="240"/>
        <w:ind w:right="231"/>
        <w:rPr>
          <w:color w:val="1F1F1F"/>
          <w:lang w:val="en"/>
        </w:rPr>
      </w:pPr>
      <w:r w:rsidRPr="00CB113D">
        <w:rPr>
          <w:color w:val="1F1F1F"/>
          <w:lang w:val="en"/>
        </w:rPr>
        <w:t>The model employs interpretability analysis to enhance clinical utility. SHAP (</w:t>
      </w:r>
      <w:proofErr w:type="spellStart"/>
      <w:r w:rsidRPr="00CB113D">
        <w:rPr>
          <w:color w:val="1F1F1F"/>
          <w:lang w:val="en"/>
        </w:rPr>
        <w:t>SHapley</w:t>
      </w:r>
      <w:proofErr w:type="spellEnd"/>
      <w:r w:rsidRPr="00CB113D">
        <w:rPr>
          <w:color w:val="1F1F1F"/>
          <w:lang w:val="en"/>
        </w:rPr>
        <w:t xml:space="preserve"> Additive </w:t>
      </w:r>
      <w:proofErr w:type="spellStart"/>
      <w:r w:rsidRPr="00CB113D">
        <w:rPr>
          <w:color w:val="1F1F1F"/>
          <w:lang w:val="en"/>
        </w:rPr>
        <w:t>exPlanations</w:t>
      </w:r>
      <w:proofErr w:type="spellEnd"/>
      <w:r w:rsidRPr="00CB113D">
        <w:rPr>
          <w:color w:val="1F1F1F"/>
          <w:lang w:val="en"/>
        </w:rPr>
        <w:t>) analysis is systematically applied to generate transparent insights into model decision-making processes, enabling clinicians to understand and validate the clinical reasoning underlying risk predictions.</w:t>
      </w:r>
    </w:p>
    <w:p w14:paraId="58FE7305" w14:textId="2C287CCE" w:rsidR="00CB113D" w:rsidRPr="00151E13" w:rsidRDefault="00CB113D" w:rsidP="00151E13">
      <w:pPr>
        <w:pStyle w:val="ListParagraph"/>
        <w:numPr>
          <w:ilvl w:val="0"/>
          <w:numId w:val="52"/>
        </w:numPr>
        <w:spacing w:before="240" w:after="240"/>
        <w:ind w:left="284" w:right="231" w:hanging="142"/>
        <w:rPr>
          <w:color w:val="1F1F1F"/>
          <w:lang w:val="en"/>
        </w:rPr>
      </w:pPr>
      <w:r w:rsidRPr="00151E13">
        <w:rPr>
          <w:color w:val="1F1F1F"/>
          <w:lang w:val="en"/>
        </w:rPr>
        <w:t>Key Clinical References for Diseases/Domains</w:t>
      </w:r>
    </w:p>
    <w:p w14:paraId="5AB22CD5" w14:textId="348F7A82" w:rsidR="00CB113D" w:rsidRDefault="00CB113D" w:rsidP="00CB113D">
      <w:pPr>
        <w:spacing w:before="240" w:after="240"/>
        <w:ind w:right="231"/>
        <w:rPr>
          <w:color w:val="1F1F1F"/>
          <w:lang w:val="en"/>
        </w:rPr>
      </w:pPr>
      <w:r w:rsidRPr="00CB113D">
        <w:rPr>
          <w:color w:val="1F1F1F"/>
          <w:lang w:val="en"/>
        </w:rPr>
        <w:t>References should support the clinical relevance and interdependencies of the 12 highly correlated chronic diseases studied, which span three interconnected physiological domains: Neuro-Cognitive, Cardiovascular, and Metabolic. Key diseases requiring supporting literature include:</w:t>
      </w:r>
    </w:p>
    <w:p w14:paraId="0EFDFCEC" w14:textId="77777777" w:rsidR="00151E13" w:rsidRDefault="00151E13" w:rsidP="00151E13">
      <w:pPr>
        <w:pStyle w:val="ListParagraph"/>
        <w:numPr>
          <w:ilvl w:val="0"/>
          <w:numId w:val="53"/>
        </w:numPr>
        <w:spacing w:before="240" w:after="240"/>
        <w:ind w:left="142" w:right="231" w:hanging="142"/>
        <w:rPr>
          <w:color w:val="1F1F1F"/>
          <w:lang w:val="en"/>
        </w:rPr>
      </w:pPr>
      <w:r w:rsidRPr="00151E13">
        <w:rPr>
          <w:color w:val="1F1F1F"/>
          <w:lang w:val="en"/>
        </w:rPr>
        <w:t xml:space="preserve">Diabetes (Type 2 Diabetes Mellitus): Part of the Metabolic domain, linked to cardiovascular risk. </w:t>
      </w:r>
    </w:p>
    <w:p w14:paraId="6A1D9712" w14:textId="77777777" w:rsidR="00151E13" w:rsidRDefault="00151E13" w:rsidP="00151E13">
      <w:pPr>
        <w:pStyle w:val="ListParagraph"/>
        <w:numPr>
          <w:ilvl w:val="0"/>
          <w:numId w:val="53"/>
        </w:numPr>
        <w:spacing w:before="240" w:after="240"/>
        <w:ind w:left="142" w:right="231" w:hanging="142"/>
        <w:rPr>
          <w:color w:val="1F1F1F"/>
          <w:lang w:val="en"/>
        </w:rPr>
      </w:pPr>
      <w:r w:rsidRPr="00151E13">
        <w:rPr>
          <w:color w:val="1F1F1F"/>
          <w:lang w:val="en"/>
        </w:rPr>
        <w:t>CAD (</w:t>
      </w:r>
      <w:proofErr w:type="gramStart"/>
      <w:r w:rsidRPr="00151E13">
        <w:rPr>
          <w:color w:val="1F1F1F"/>
          <w:lang w:val="en"/>
        </w:rPr>
        <w:t>Coronary Artery Disease</w:t>
      </w:r>
      <w:proofErr w:type="gramEnd"/>
      <w:r w:rsidRPr="00151E13">
        <w:rPr>
          <w:color w:val="1F1F1F"/>
          <w:lang w:val="en"/>
        </w:rPr>
        <w:t xml:space="preserve">): Part of the Cardiovascular domain, characterized by atherosclerosis.  </w:t>
      </w:r>
    </w:p>
    <w:p w14:paraId="16C8E628" w14:textId="77777777" w:rsidR="00151E13" w:rsidRDefault="00151E13" w:rsidP="00151E13">
      <w:pPr>
        <w:pStyle w:val="ListParagraph"/>
        <w:numPr>
          <w:ilvl w:val="0"/>
          <w:numId w:val="53"/>
        </w:numPr>
        <w:spacing w:before="240" w:after="240"/>
        <w:ind w:left="142" w:right="231" w:hanging="142"/>
        <w:rPr>
          <w:color w:val="1F1F1F"/>
          <w:lang w:val="en"/>
        </w:rPr>
      </w:pPr>
      <w:r w:rsidRPr="00151E13">
        <w:rPr>
          <w:color w:val="1F1F1F"/>
          <w:lang w:val="en"/>
        </w:rPr>
        <w:t xml:space="preserve">Alzheimer’s Disease and Vascular Dementia </w:t>
      </w:r>
      <w:r w:rsidRPr="00151E13">
        <w:rPr>
          <w:color w:val="1F1F1F"/>
          <w:lang w:val="en"/>
        </w:rPr>
        <w:t xml:space="preserve">(AD/VAD): Part of the Neuro-Cognitive domain, often associated with systemic inflammation and vascular compromise. </w:t>
      </w:r>
    </w:p>
    <w:p w14:paraId="61BA8E0D" w14:textId="3A1D88BD" w:rsidR="00151E13" w:rsidRPr="00151E13" w:rsidRDefault="00151E13" w:rsidP="00151E13">
      <w:pPr>
        <w:pStyle w:val="ListParagraph"/>
        <w:numPr>
          <w:ilvl w:val="0"/>
          <w:numId w:val="36"/>
        </w:numPr>
        <w:spacing w:before="240" w:after="240"/>
        <w:ind w:left="284" w:right="231" w:hanging="142"/>
        <w:rPr>
          <w:color w:val="1F1F1F"/>
          <w:lang w:val="en"/>
        </w:rPr>
      </w:pPr>
      <w:r w:rsidRPr="00151E13">
        <w:rPr>
          <w:color w:val="1F1F1F"/>
          <w:lang w:val="en"/>
        </w:rPr>
        <w:t>Prominently Used Tools (</w:t>
      </w:r>
      <w:proofErr w:type="spellStart"/>
      <w:r w:rsidRPr="00151E13">
        <w:rPr>
          <w:color w:val="1F1F1F"/>
          <w:lang w:val="en"/>
        </w:rPr>
        <w:t>Optuna</w:t>
      </w:r>
      <w:proofErr w:type="spellEnd"/>
      <w:r w:rsidRPr="00151E13">
        <w:rPr>
          <w:color w:val="1F1F1F"/>
          <w:lang w:val="en"/>
        </w:rPr>
        <w:t>, scikit-learn)</w:t>
      </w:r>
    </w:p>
    <w:p w14:paraId="31C2B446" w14:textId="77777777" w:rsidR="00151E13" w:rsidRDefault="00151E13" w:rsidP="00151E13">
      <w:pPr>
        <w:spacing w:before="240" w:after="240"/>
        <w:ind w:right="231"/>
        <w:rPr>
          <w:color w:val="1F1F1F"/>
          <w:lang w:val="en"/>
        </w:rPr>
      </w:pPr>
      <w:r w:rsidRPr="00151E13">
        <w:rPr>
          <w:color w:val="1F1F1F"/>
          <w:lang w:val="en"/>
        </w:rPr>
        <w:t>Citations should be included for foundational tools used in the data pipeline:</w:t>
      </w:r>
      <w:r>
        <w:rPr>
          <w:color w:val="1F1F1F"/>
          <w:lang w:val="en"/>
        </w:rPr>
        <w:t xml:space="preserve"> </w:t>
      </w:r>
    </w:p>
    <w:p w14:paraId="12AB8DE5" w14:textId="25546566" w:rsidR="00151E13" w:rsidRPr="00151E13" w:rsidRDefault="00151E13" w:rsidP="00151E13">
      <w:pPr>
        <w:spacing w:before="240" w:after="240"/>
        <w:ind w:right="231"/>
        <w:rPr>
          <w:color w:val="1F1F1F"/>
          <w:lang w:val="en"/>
        </w:rPr>
      </w:pPr>
      <w:r w:rsidRPr="00151E13">
        <w:rPr>
          <w:color w:val="1F1F1F"/>
          <w:lang w:val="en"/>
        </w:rPr>
        <w:t>Hyperparameter Optimization: The project employed systematic hyperparameter optimization through grid search with cross-validation.</w:t>
      </w:r>
      <w:r>
        <w:rPr>
          <w:color w:val="1F1F1F"/>
          <w:lang w:val="en"/>
        </w:rPr>
        <w:t xml:space="preserve"> </w:t>
      </w:r>
      <w:r w:rsidRPr="00151E13">
        <w:rPr>
          <w:color w:val="1F1F1F"/>
          <w:lang w:val="en"/>
        </w:rPr>
        <w:t>Machine Learning Libraries: General-purpose libraries necessary for data processing, validation (like stratified splitting and cross-validation), and evaluation metrics (e.g., ROC-AUC, F1-score) are standard components of the process.</w:t>
      </w:r>
    </w:p>
    <w:p w14:paraId="26BCFA0E" w14:textId="77777777" w:rsidR="00151E13" w:rsidRPr="00CB113D" w:rsidRDefault="00151E13" w:rsidP="00CB113D">
      <w:pPr>
        <w:spacing w:before="240" w:after="240"/>
        <w:ind w:right="231"/>
        <w:rPr>
          <w:color w:val="1F1F1F"/>
          <w:lang w:val="en"/>
        </w:rPr>
      </w:pPr>
    </w:p>
    <w:p w14:paraId="37D0C441" w14:textId="77777777" w:rsidR="00892B72" w:rsidRDefault="00892B72" w:rsidP="00892B72">
      <w:pPr>
        <w:spacing w:before="240" w:after="240"/>
        <w:ind w:right="231"/>
        <w:rPr>
          <w:color w:val="1F1F1F"/>
          <w:lang w:val="en"/>
        </w:rPr>
      </w:pPr>
    </w:p>
    <w:p w14:paraId="7B4F9ED6" w14:textId="77777777" w:rsidR="00892B72" w:rsidRDefault="00892B72" w:rsidP="00892B72">
      <w:pPr>
        <w:spacing w:before="240" w:after="240"/>
        <w:ind w:right="231"/>
        <w:rPr>
          <w:color w:val="1F1F1F"/>
          <w:lang w:val="en"/>
        </w:rPr>
      </w:pPr>
    </w:p>
    <w:p w14:paraId="261FB203" w14:textId="77777777" w:rsidR="00892B72" w:rsidRDefault="00892B72" w:rsidP="00892B72">
      <w:pPr>
        <w:spacing w:before="240" w:after="240"/>
        <w:ind w:right="231"/>
        <w:rPr>
          <w:color w:val="1F1F1F"/>
          <w:lang w:val="en"/>
        </w:rPr>
      </w:pPr>
    </w:p>
    <w:p w14:paraId="06D4311A" w14:textId="77777777" w:rsidR="00892B72" w:rsidRDefault="00892B72" w:rsidP="00892B72">
      <w:pPr>
        <w:spacing w:before="240" w:after="240"/>
        <w:ind w:right="231"/>
        <w:rPr>
          <w:color w:val="1F1F1F"/>
          <w:lang w:val="en"/>
        </w:rPr>
      </w:pPr>
    </w:p>
    <w:p w14:paraId="7880D812" w14:textId="77777777" w:rsidR="00892B72" w:rsidRDefault="00892B72" w:rsidP="00892B72">
      <w:pPr>
        <w:spacing w:before="240" w:after="240"/>
        <w:ind w:right="231"/>
        <w:rPr>
          <w:color w:val="1F1F1F"/>
          <w:lang w:val="en"/>
        </w:rPr>
      </w:pPr>
    </w:p>
    <w:p w14:paraId="26E24441" w14:textId="77777777" w:rsidR="00892B72" w:rsidRDefault="00892B72" w:rsidP="00892B72">
      <w:pPr>
        <w:spacing w:before="240" w:after="240"/>
        <w:ind w:right="231"/>
        <w:rPr>
          <w:color w:val="1F1F1F"/>
          <w:lang w:val="en"/>
        </w:rPr>
      </w:pPr>
    </w:p>
    <w:p w14:paraId="1B6AB766" w14:textId="77777777" w:rsidR="00892B72" w:rsidRDefault="00892B72" w:rsidP="00892B72">
      <w:pPr>
        <w:spacing w:before="240" w:after="240"/>
        <w:ind w:right="231"/>
        <w:rPr>
          <w:color w:val="1F1F1F"/>
          <w:lang w:val="en"/>
        </w:rPr>
      </w:pPr>
    </w:p>
    <w:p w14:paraId="74C66C02" w14:textId="77777777" w:rsidR="00892B72" w:rsidRDefault="00892B72" w:rsidP="00892B72">
      <w:pPr>
        <w:spacing w:before="240" w:after="240"/>
        <w:ind w:right="231"/>
        <w:rPr>
          <w:color w:val="1F1F1F"/>
          <w:lang w:val="en"/>
        </w:rPr>
      </w:pPr>
    </w:p>
    <w:p w14:paraId="25A0D494" w14:textId="77777777" w:rsidR="00892B72" w:rsidRDefault="00892B72" w:rsidP="00892B72">
      <w:pPr>
        <w:spacing w:before="240" w:after="240"/>
        <w:ind w:right="231"/>
        <w:rPr>
          <w:color w:val="1F1F1F"/>
          <w:lang w:val="en"/>
        </w:rPr>
      </w:pPr>
    </w:p>
    <w:p w14:paraId="6689DF24" w14:textId="77777777" w:rsidR="00151E13" w:rsidRDefault="00151E13" w:rsidP="00892B72">
      <w:pPr>
        <w:spacing w:before="240" w:after="240"/>
        <w:ind w:right="231"/>
        <w:rPr>
          <w:color w:val="1F1F1F"/>
          <w:lang w:val="en"/>
        </w:rPr>
      </w:pPr>
    </w:p>
    <w:p w14:paraId="587965E5" w14:textId="77777777" w:rsidR="00151E13" w:rsidRDefault="00151E13" w:rsidP="00892B72">
      <w:pPr>
        <w:spacing w:before="240" w:after="240"/>
        <w:ind w:right="231"/>
        <w:rPr>
          <w:color w:val="1F1F1F"/>
          <w:lang w:val="en"/>
        </w:rPr>
      </w:pPr>
    </w:p>
    <w:p w14:paraId="718481C2" w14:textId="77777777" w:rsidR="00151E13" w:rsidRDefault="00151E13" w:rsidP="00892B72">
      <w:pPr>
        <w:spacing w:before="240" w:after="240"/>
        <w:ind w:right="231"/>
        <w:rPr>
          <w:color w:val="1F1F1F"/>
          <w:lang w:val="en"/>
        </w:rPr>
      </w:pPr>
    </w:p>
    <w:p w14:paraId="6BF7313B" w14:textId="77777777" w:rsidR="00151E13" w:rsidRDefault="00151E13" w:rsidP="00892B72">
      <w:pPr>
        <w:spacing w:before="240" w:after="240"/>
        <w:ind w:right="231"/>
        <w:rPr>
          <w:color w:val="1F1F1F"/>
          <w:lang w:val="en"/>
        </w:rPr>
      </w:pPr>
    </w:p>
    <w:p w14:paraId="00DC8E96" w14:textId="77777777" w:rsidR="00151E13" w:rsidRDefault="00151E13" w:rsidP="00892B72">
      <w:pPr>
        <w:spacing w:before="240" w:after="240"/>
        <w:ind w:right="231"/>
        <w:rPr>
          <w:color w:val="1F1F1F"/>
          <w:lang w:val="en"/>
        </w:rPr>
      </w:pPr>
    </w:p>
    <w:p w14:paraId="24FEE361" w14:textId="77777777" w:rsidR="00151E13" w:rsidRDefault="00151E13" w:rsidP="00892B72">
      <w:pPr>
        <w:spacing w:before="240" w:after="240"/>
        <w:ind w:right="231"/>
        <w:rPr>
          <w:color w:val="1F1F1F"/>
          <w:lang w:val="en"/>
        </w:rPr>
      </w:pPr>
    </w:p>
    <w:p w14:paraId="189353B9" w14:textId="77777777" w:rsidR="00151E13" w:rsidRDefault="00151E13" w:rsidP="00892B72">
      <w:pPr>
        <w:spacing w:before="240" w:after="240"/>
        <w:ind w:right="231"/>
        <w:rPr>
          <w:color w:val="1F1F1F"/>
          <w:lang w:val="en"/>
        </w:rPr>
      </w:pPr>
    </w:p>
    <w:p w14:paraId="19F1F62E" w14:textId="77777777" w:rsidR="00892B72" w:rsidRDefault="00892B72" w:rsidP="00892B72">
      <w:pPr>
        <w:spacing w:before="240" w:after="240"/>
        <w:ind w:right="231"/>
        <w:rPr>
          <w:color w:val="1F1F1F"/>
          <w:lang w:val="en"/>
        </w:rPr>
      </w:pPr>
    </w:p>
    <w:p w14:paraId="6496E9E7" w14:textId="77777777" w:rsidR="00892B72" w:rsidRDefault="00892B72" w:rsidP="00892B72">
      <w:pPr>
        <w:spacing w:before="240" w:after="240"/>
        <w:ind w:right="231"/>
        <w:rPr>
          <w:color w:val="1F1F1F"/>
          <w:lang w:val="en"/>
        </w:rPr>
      </w:pPr>
    </w:p>
    <w:p w14:paraId="4448FC7E" w14:textId="77777777" w:rsidR="00892B72" w:rsidRDefault="00892B72" w:rsidP="00892B72">
      <w:pPr>
        <w:spacing w:before="240" w:after="240"/>
        <w:ind w:right="231"/>
        <w:rPr>
          <w:color w:val="1F1F1F"/>
          <w:lang w:val="en"/>
        </w:rPr>
      </w:pPr>
    </w:p>
    <w:p w14:paraId="2CD2FA36" w14:textId="77777777" w:rsidR="00892B72" w:rsidRDefault="00892B72" w:rsidP="00892B72">
      <w:pPr>
        <w:spacing w:before="240" w:after="240"/>
        <w:ind w:right="231"/>
        <w:rPr>
          <w:color w:val="1F1F1F"/>
          <w:lang w:val="en"/>
        </w:rPr>
      </w:pPr>
    </w:p>
    <w:p w14:paraId="05E0C664" w14:textId="77777777" w:rsidR="00892B72" w:rsidRDefault="00892B72" w:rsidP="00892B72">
      <w:pPr>
        <w:spacing w:before="240" w:after="240"/>
        <w:ind w:right="231"/>
        <w:rPr>
          <w:color w:val="1F1F1F"/>
          <w:lang w:val="en"/>
        </w:rPr>
      </w:pPr>
    </w:p>
    <w:p w14:paraId="579913A1" w14:textId="77777777" w:rsidR="00892B72" w:rsidRDefault="00892B72" w:rsidP="00892B72">
      <w:pPr>
        <w:spacing w:before="240" w:after="240"/>
        <w:ind w:right="231"/>
        <w:rPr>
          <w:color w:val="1F1F1F"/>
          <w:lang w:val="en"/>
        </w:rPr>
      </w:pPr>
    </w:p>
    <w:p w14:paraId="6FCEF7AA" w14:textId="77777777" w:rsidR="00892B72" w:rsidRDefault="00892B72" w:rsidP="00892B72">
      <w:pPr>
        <w:spacing w:before="240" w:after="240"/>
        <w:ind w:right="231"/>
        <w:rPr>
          <w:color w:val="1F1F1F"/>
          <w:lang w:val="en"/>
        </w:rPr>
      </w:pPr>
    </w:p>
    <w:p w14:paraId="083F89B1" w14:textId="77777777" w:rsidR="00892B72" w:rsidRDefault="00892B72" w:rsidP="00892B72">
      <w:pPr>
        <w:spacing w:before="240" w:after="240"/>
        <w:ind w:right="231"/>
        <w:rPr>
          <w:color w:val="1F1F1F"/>
          <w:lang w:val="en"/>
        </w:rPr>
      </w:pPr>
    </w:p>
    <w:p w14:paraId="66CD8899" w14:textId="77777777" w:rsidR="00892B72" w:rsidRDefault="00892B72" w:rsidP="00892B72">
      <w:pPr>
        <w:spacing w:before="240" w:after="240"/>
        <w:ind w:right="231"/>
        <w:rPr>
          <w:color w:val="1F1F1F"/>
          <w:lang w:val="en"/>
        </w:rPr>
      </w:pPr>
    </w:p>
    <w:p w14:paraId="350081CD" w14:textId="77777777" w:rsidR="00892B72" w:rsidRDefault="00892B72" w:rsidP="00892B72">
      <w:pPr>
        <w:spacing w:before="240" w:after="240"/>
        <w:ind w:right="231"/>
        <w:rPr>
          <w:color w:val="1F1F1F"/>
          <w:lang w:val="en"/>
        </w:rPr>
      </w:pPr>
    </w:p>
    <w:p w14:paraId="2CF624D7" w14:textId="77777777" w:rsidR="00892B72" w:rsidRDefault="00892B72" w:rsidP="00892B72">
      <w:pPr>
        <w:spacing w:before="240" w:after="240"/>
        <w:ind w:right="231"/>
        <w:rPr>
          <w:color w:val="1F1F1F"/>
          <w:lang w:val="en"/>
        </w:rPr>
      </w:pPr>
    </w:p>
    <w:p w14:paraId="0A74230B" w14:textId="77777777" w:rsidR="00892B72" w:rsidRDefault="00892B72" w:rsidP="00892B72">
      <w:pPr>
        <w:spacing w:before="240" w:after="240"/>
        <w:ind w:right="231"/>
        <w:rPr>
          <w:color w:val="1F1F1F"/>
          <w:lang w:val="en"/>
        </w:rPr>
      </w:pPr>
    </w:p>
    <w:p w14:paraId="1E69DC76" w14:textId="77777777" w:rsidR="00892B72" w:rsidRDefault="00892B72" w:rsidP="00892B72">
      <w:pPr>
        <w:spacing w:before="240" w:after="240"/>
        <w:ind w:right="231"/>
        <w:rPr>
          <w:color w:val="1F1F1F"/>
          <w:lang w:val="en"/>
        </w:rPr>
      </w:pPr>
    </w:p>
    <w:p w14:paraId="27BFEF09" w14:textId="77777777" w:rsidR="00892B72" w:rsidRDefault="00892B72" w:rsidP="00892B72">
      <w:pPr>
        <w:spacing w:before="240" w:after="240"/>
        <w:ind w:right="231"/>
        <w:rPr>
          <w:color w:val="1F1F1F"/>
          <w:lang w:val="en"/>
        </w:rPr>
      </w:pPr>
    </w:p>
    <w:p w14:paraId="40ACE2FD" w14:textId="77777777" w:rsidR="00892B72" w:rsidRDefault="00892B72" w:rsidP="00892B72">
      <w:pPr>
        <w:spacing w:before="240" w:after="240"/>
        <w:ind w:right="231"/>
        <w:rPr>
          <w:color w:val="1F1F1F"/>
          <w:lang w:val="en"/>
        </w:rPr>
      </w:pPr>
    </w:p>
    <w:p w14:paraId="0D0A2D19" w14:textId="77777777" w:rsidR="00892B72" w:rsidRDefault="00892B72" w:rsidP="00892B72">
      <w:pPr>
        <w:spacing w:before="240" w:after="240"/>
        <w:ind w:right="231"/>
        <w:rPr>
          <w:color w:val="1F1F1F"/>
          <w:lang w:val="en"/>
        </w:rPr>
      </w:pPr>
    </w:p>
    <w:p w14:paraId="3734DC7B" w14:textId="77777777" w:rsidR="00892B72" w:rsidRDefault="00892B72" w:rsidP="00892B72">
      <w:pPr>
        <w:spacing w:before="240" w:after="240"/>
        <w:ind w:right="231"/>
        <w:rPr>
          <w:color w:val="1F1F1F"/>
          <w:lang w:val="en"/>
        </w:rPr>
      </w:pPr>
    </w:p>
    <w:p w14:paraId="1AF8A2ED" w14:textId="77777777" w:rsidR="00892B72" w:rsidRDefault="00892B72" w:rsidP="00892B72">
      <w:pPr>
        <w:spacing w:before="240" w:after="240"/>
        <w:ind w:right="231"/>
        <w:rPr>
          <w:color w:val="1F1F1F"/>
          <w:lang w:val="en"/>
        </w:rPr>
      </w:pPr>
    </w:p>
    <w:p w14:paraId="40EC82B2" w14:textId="77777777" w:rsidR="00892B72" w:rsidRDefault="00892B72" w:rsidP="00892B72">
      <w:pPr>
        <w:spacing w:before="240" w:after="240"/>
        <w:ind w:right="231"/>
        <w:rPr>
          <w:color w:val="1F1F1F"/>
          <w:lang w:val="en"/>
        </w:rPr>
      </w:pPr>
    </w:p>
    <w:p w14:paraId="691D5144" w14:textId="77777777" w:rsidR="00892B72" w:rsidRDefault="00892B72" w:rsidP="00892B72">
      <w:pPr>
        <w:spacing w:before="240" w:after="240"/>
        <w:ind w:right="231"/>
        <w:rPr>
          <w:color w:val="1F1F1F"/>
          <w:lang w:val="en"/>
        </w:rPr>
      </w:pPr>
    </w:p>
    <w:p w14:paraId="7F00C549" w14:textId="77777777" w:rsidR="00892B72" w:rsidRDefault="00892B72" w:rsidP="00892B72">
      <w:pPr>
        <w:spacing w:before="240" w:after="240"/>
        <w:ind w:right="231"/>
        <w:rPr>
          <w:color w:val="1F1F1F"/>
          <w:lang w:val="en"/>
        </w:rPr>
      </w:pPr>
    </w:p>
    <w:p w14:paraId="45F93732" w14:textId="77777777" w:rsidR="00892B72" w:rsidRPr="00892B72" w:rsidRDefault="00892B72" w:rsidP="00892B72">
      <w:pPr>
        <w:spacing w:before="240" w:after="240"/>
        <w:ind w:right="231"/>
        <w:rPr>
          <w:color w:val="1F1F1F"/>
          <w:lang w:val="en"/>
        </w:rPr>
      </w:pPr>
    </w:p>
    <w:p w14:paraId="2F6A6BDD" w14:textId="77777777" w:rsidR="007539FB" w:rsidRPr="007539FB" w:rsidRDefault="007539FB" w:rsidP="007539FB">
      <w:pPr>
        <w:spacing w:before="240" w:after="240"/>
        <w:ind w:right="231"/>
        <w:rPr>
          <w:color w:val="1F1F1F"/>
          <w:lang w:val="en"/>
        </w:rPr>
      </w:pPr>
    </w:p>
    <w:p w14:paraId="3956C052" w14:textId="77777777" w:rsidR="00B80B84" w:rsidRPr="00B80B84" w:rsidRDefault="00B80B84" w:rsidP="00B80B84">
      <w:pPr>
        <w:spacing w:before="240" w:after="240"/>
        <w:ind w:right="231"/>
        <w:rPr>
          <w:color w:val="1F1F1F"/>
          <w:lang w:val="en"/>
        </w:rPr>
      </w:pPr>
    </w:p>
    <w:p w14:paraId="38503722" w14:textId="77777777" w:rsidR="00892B72" w:rsidRDefault="00892B72">
      <w:pPr>
        <w:spacing w:before="240" w:after="240"/>
        <w:ind w:right="231"/>
        <w:rPr>
          <w:color w:val="1F1F1F"/>
          <w:lang w:val="en"/>
        </w:rPr>
        <w:sectPr w:rsidR="00892B72" w:rsidSect="00973DE5">
          <w:type w:val="continuous"/>
          <w:pgSz w:w="11910" w:h="16840"/>
          <w:pgMar w:top="1060" w:right="708" w:bottom="1340" w:left="708" w:header="763" w:footer="1143" w:gutter="0"/>
          <w:cols w:num="2" w:space="720"/>
        </w:sectPr>
      </w:pPr>
    </w:p>
    <w:p w14:paraId="785FE120" w14:textId="77777777" w:rsidR="00892B72" w:rsidRDefault="00892B72" w:rsidP="0035317A">
      <w:pPr>
        <w:spacing w:before="240" w:after="240"/>
        <w:ind w:right="231"/>
        <w:rPr>
          <w:color w:val="1F1F1F"/>
        </w:rPr>
        <w:sectPr w:rsidR="00892B72" w:rsidSect="00892B72">
          <w:type w:val="continuous"/>
          <w:pgSz w:w="11910" w:h="16840"/>
          <w:pgMar w:top="1060" w:right="708" w:bottom="1340" w:left="708" w:header="763" w:footer="1143" w:gutter="0"/>
          <w:cols w:space="720"/>
        </w:sectPr>
      </w:pPr>
    </w:p>
    <w:p w14:paraId="1409F771" w14:textId="77777777" w:rsidR="0035317A" w:rsidRDefault="0035317A" w:rsidP="0035317A">
      <w:pPr>
        <w:spacing w:before="240" w:after="240"/>
        <w:ind w:right="231"/>
        <w:rPr>
          <w:color w:val="1F1F1F"/>
        </w:rPr>
      </w:pPr>
    </w:p>
    <w:p w14:paraId="3A1F013A" w14:textId="77777777" w:rsidR="0035317A" w:rsidRDefault="0035317A" w:rsidP="0035317A">
      <w:pPr>
        <w:spacing w:before="240" w:after="240"/>
        <w:ind w:right="231"/>
        <w:rPr>
          <w:color w:val="1F1F1F"/>
        </w:rPr>
      </w:pPr>
    </w:p>
    <w:p w14:paraId="66FBA530" w14:textId="77777777" w:rsidR="0035317A" w:rsidRDefault="0035317A" w:rsidP="0035317A">
      <w:pPr>
        <w:spacing w:before="240" w:after="240"/>
        <w:ind w:right="231"/>
        <w:rPr>
          <w:color w:val="1F1F1F"/>
        </w:rPr>
      </w:pPr>
    </w:p>
    <w:p w14:paraId="2F046C50" w14:textId="77777777" w:rsidR="0035317A" w:rsidRDefault="0035317A" w:rsidP="0035317A">
      <w:pPr>
        <w:spacing w:before="240" w:after="240"/>
        <w:ind w:right="231"/>
        <w:rPr>
          <w:color w:val="1F1F1F"/>
        </w:rPr>
      </w:pPr>
    </w:p>
    <w:p w14:paraId="643F6452" w14:textId="77777777" w:rsidR="0035317A" w:rsidRDefault="0035317A" w:rsidP="0035317A">
      <w:pPr>
        <w:spacing w:before="240" w:after="240"/>
        <w:ind w:right="231"/>
        <w:rPr>
          <w:color w:val="1F1F1F"/>
        </w:rPr>
      </w:pPr>
    </w:p>
    <w:p w14:paraId="52451148" w14:textId="77777777" w:rsidR="0035317A" w:rsidRDefault="0035317A" w:rsidP="0035317A">
      <w:pPr>
        <w:spacing w:before="240" w:after="240"/>
        <w:ind w:right="231"/>
        <w:rPr>
          <w:color w:val="1F1F1F"/>
        </w:rPr>
      </w:pPr>
    </w:p>
    <w:p w14:paraId="3B38477F" w14:textId="77777777" w:rsidR="0035317A" w:rsidRDefault="0035317A" w:rsidP="0035317A">
      <w:pPr>
        <w:spacing w:before="240" w:after="240"/>
        <w:ind w:right="231"/>
        <w:rPr>
          <w:color w:val="1F1F1F"/>
        </w:rPr>
      </w:pPr>
    </w:p>
    <w:p w14:paraId="35EA42F1" w14:textId="77777777" w:rsidR="0035317A" w:rsidRDefault="0035317A" w:rsidP="0035317A">
      <w:pPr>
        <w:spacing w:before="240" w:after="240"/>
        <w:ind w:right="231"/>
        <w:rPr>
          <w:color w:val="1F1F1F"/>
        </w:rPr>
      </w:pPr>
    </w:p>
    <w:p w14:paraId="44826EA8" w14:textId="77777777" w:rsidR="0035317A" w:rsidRDefault="0035317A" w:rsidP="0035317A">
      <w:pPr>
        <w:spacing w:before="240" w:after="240"/>
        <w:ind w:right="231"/>
        <w:rPr>
          <w:color w:val="1F1F1F"/>
        </w:rPr>
      </w:pPr>
    </w:p>
    <w:p w14:paraId="46583379" w14:textId="77777777" w:rsidR="0035317A" w:rsidRDefault="0035317A" w:rsidP="0035317A">
      <w:pPr>
        <w:spacing w:before="240" w:after="240"/>
        <w:ind w:right="231"/>
        <w:rPr>
          <w:color w:val="1F1F1F"/>
        </w:rPr>
      </w:pPr>
    </w:p>
    <w:p w14:paraId="76B7C535" w14:textId="77777777" w:rsidR="0035317A" w:rsidRDefault="0035317A" w:rsidP="0035317A">
      <w:pPr>
        <w:spacing w:before="240" w:after="240"/>
        <w:ind w:right="231"/>
        <w:rPr>
          <w:color w:val="1F1F1F"/>
        </w:rPr>
      </w:pPr>
    </w:p>
    <w:p w14:paraId="68CDB02F" w14:textId="77777777" w:rsidR="0035317A" w:rsidRDefault="0035317A" w:rsidP="0035317A">
      <w:pPr>
        <w:spacing w:before="240" w:after="240"/>
        <w:ind w:right="231"/>
        <w:rPr>
          <w:color w:val="1F1F1F"/>
        </w:rPr>
      </w:pPr>
    </w:p>
    <w:p w14:paraId="5BD604FB" w14:textId="77777777" w:rsidR="0035317A" w:rsidRDefault="0035317A" w:rsidP="0035317A">
      <w:pPr>
        <w:spacing w:before="240" w:after="240"/>
        <w:ind w:right="231"/>
        <w:rPr>
          <w:color w:val="1F1F1F"/>
        </w:rPr>
      </w:pPr>
    </w:p>
    <w:p w14:paraId="13630756" w14:textId="77777777" w:rsidR="0035317A" w:rsidRPr="0035317A" w:rsidRDefault="0035317A" w:rsidP="0035317A">
      <w:pPr>
        <w:spacing w:before="240" w:after="240"/>
        <w:ind w:right="231"/>
        <w:rPr>
          <w:color w:val="1F1F1F"/>
        </w:rPr>
      </w:pPr>
    </w:p>
    <w:p w14:paraId="2A206FF9" w14:textId="77777777" w:rsidR="0035317A" w:rsidRPr="00AB0A54" w:rsidRDefault="0035317A" w:rsidP="009C522C">
      <w:pPr>
        <w:spacing w:before="240" w:after="240"/>
        <w:ind w:left="284" w:right="231"/>
        <w:jc w:val="both"/>
        <w:rPr>
          <w:color w:val="1F1F1F"/>
        </w:rPr>
      </w:pPr>
    </w:p>
    <w:p w14:paraId="40CA8D3F" w14:textId="77777777" w:rsidR="009C522C" w:rsidRDefault="009C522C" w:rsidP="009C522C">
      <w:pPr>
        <w:pStyle w:val="BodyText"/>
        <w:spacing w:line="276" w:lineRule="auto"/>
        <w:ind w:left="284"/>
        <w:jc w:val="both"/>
      </w:pPr>
    </w:p>
    <w:p w14:paraId="38FFB61E" w14:textId="77777777" w:rsidR="009C522C" w:rsidRDefault="009C522C" w:rsidP="00973DE5">
      <w:pPr>
        <w:pStyle w:val="BodyText"/>
        <w:spacing w:line="276" w:lineRule="auto"/>
        <w:jc w:val="both"/>
      </w:pPr>
    </w:p>
    <w:p w14:paraId="5559DCF9" w14:textId="77777777" w:rsidR="009C522C" w:rsidRDefault="009C522C" w:rsidP="00973DE5">
      <w:pPr>
        <w:pStyle w:val="BodyText"/>
        <w:spacing w:line="276" w:lineRule="auto"/>
        <w:jc w:val="both"/>
      </w:pPr>
    </w:p>
    <w:p w14:paraId="6E33AB85" w14:textId="77777777" w:rsidR="009C522C" w:rsidRDefault="009C522C" w:rsidP="00973DE5">
      <w:pPr>
        <w:pStyle w:val="BodyText"/>
        <w:spacing w:line="276" w:lineRule="auto"/>
        <w:jc w:val="both"/>
      </w:pPr>
    </w:p>
    <w:p w14:paraId="17A09712" w14:textId="77777777" w:rsidR="009C522C" w:rsidRDefault="009C522C" w:rsidP="00973DE5">
      <w:pPr>
        <w:pStyle w:val="BodyText"/>
        <w:spacing w:line="276" w:lineRule="auto"/>
        <w:jc w:val="both"/>
      </w:pPr>
    </w:p>
    <w:p w14:paraId="7EE2220B" w14:textId="77777777" w:rsidR="009C522C" w:rsidRDefault="009C522C" w:rsidP="00973DE5">
      <w:pPr>
        <w:pStyle w:val="BodyText"/>
        <w:spacing w:line="276" w:lineRule="auto"/>
        <w:jc w:val="both"/>
      </w:pPr>
    </w:p>
    <w:p w14:paraId="0C585A36" w14:textId="77777777" w:rsidR="009C522C" w:rsidRDefault="009C522C" w:rsidP="00973DE5">
      <w:pPr>
        <w:pStyle w:val="BodyText"/>
        <w:spacing w:line="276" w:lineRule="auto"/>
        <w:jc w:val="both"/>
      </w:pPr>
    </w:p>
    <w:p w14:paraId="1B655E50" w14:textId="77777777" w:rsidR="009C522C" w:rsidRDefault="009C522C" w:rsidP="00973DE5">
      <w:pPr>
        <w:pStyle w:val="BodyText"/>
        <w:spacing w:line="276" w:lineRule="auto"/>
        <w:jc w:val="both"/>
      </w:pPr>
    </w:p>
    <w:p w14:paraId="1AF67E1F" w14:textId="77777777" w:rsidR="009C522C" w:rsidRDefault="009C522C" w:rsidP="00973DE5">
      <w:pPr>
        <w:pStyle w:val="BodyText"/>
        <w:spacing w:line="276" w:lineRule="auto"/>
        <w:jc w:val="both"/>
      </w:pPr>
    </w:p>
    <w:p w14:paraId="2FEEFDF9" w14:textId="77777777" w:rsidR="009C522C" w:rsidRDefault="009C522C" w:rsidP="00973DE5">
      <w:pPr>
        <w:pStyle w:val="BodyText"/>
        <w:spacing w:line="276" w:lineRule="auto"/>
        <w:jc w:val="both"/>
      </w:pPr>
    </w:p>
    <w:p w14:paraId="45CFD2B6" w14:textId="77777777" w:rsidR="009C522C" w:rsidRDefault="009C522C" w:rsidP="00973DE5">
      <w:pPr>
        <w:pStyle w:val="BodyText"/>
        <w:spacing w:line="276" w:lineRule="auto"/>
        <w:jc w:val="both"/>
      </w:pPr>
    </w:p>
    <w:p w14:paraId="59CE2B17" w14:textId="77777777" w:rsidR="009C522C" w:rsidRDefault="009C522C" w:rsidP="00973DE5">
      <w:pPr>
        <w:pStyle w:val="BodyText"/>
        <w:spacing w:line="276" w:lineRule="auto"/>
        <w:jc w:val="both"/>
      </w:pPr>
    </w:p>
    <w:p w14:paraId="27FAF971" w14:textId="77777777" w:rsidR="009C522C" w:rsidRDefault="009C522C" w:rsidP="00973DE5">
      <w:pPr>
        <w:pStyle w:val="BodyText"/>
        <w:spacing w:line="276" w:lineRule="auto"/>
        <w:jc w:val="both"/>
      </w:pPr>
    </w:p>
    <w:p w14:paraId="546832F3" w14:textId="77777777" w:rsidR="009C522C" w:rsidRDefault="009C522C" w:rsidP="00973DE5">
      <w:pPr>
        <w:pStyle w:val="BodyText"/>
        <w:spacing w:line="276" w:lineRule="auto"/>
        <w:jc w:val="both"/>
      </w:pPr>
    </w:p>
    <w:p w14:paraId="4DB3FBF7" w14:textId="77777777" w:rsidR="009C522C" w:rsidRDefault="009C522C" w:rsidP="00973DE5">
      <w:pPr>
        <w:pStyle w:val="BodyText"/>
        <w:spacing w:line="276" w:lineRule="auto"/>
        <w:jc w:val="both"/>
      </w:pPr>
    </w:p>
    <w:p w14:paraId="0BB582D1" w14:textId="77777777" w:rsidR="009C522C" w:rsidRDefault="009C522C" w:rsidP="00973DE5">
      <w:pPr>
        <w:pStyle w:val="BodyText"/>
        <w:spacing w:line="276" w:lineRule="auto"/>
        <w:jc w:val="both"/>
      </w:pPr>
    </w:p>
    <w:p w14:paraId="33F05D1B" w14:textId="77777777" w:rsidR="009C522C" w:rsidRDefault="009C522C" w:rsidP="00973DE5">
      <w:pPr>
        <w:pStyle w:val="BodyText"/>
        <w:spacing w:line="276" w:lineRule="auto"/>
        <w:jc w:val="both"/>
      </w:pPr>
    </w:p>
    <w:p w14:paraId="12BCDB90" w14:textId="77777777" w:rsidR="009C522C" w:rsidRDefault="009C522C" w:rsidP="00973DE5">
      <w:pPr>
        <w:pStyle w:val="BodyText"/>
        <w:spacing w:line="276" w:lineRule="auto"/>
        <w:jc w:val="both"/>
      </w:pPr>
    </w:p>
    <w:p w14:paraId="1A02684F" w14:textId="77777777" w:rsidR="009C522C" w:rsidRDefault="009C522C" w:rsidP="00973DE5">
      <w:pPr>
        <w:pStyle w:val="BodyText"/>
        <w:spacing w:line="276" w:lineRule="auto"/>
        <w:jc w:val="both"/>
      </w:pPr>
    </w:p>
    <w:p w14:paraId="66DCA3B3" w14:textId="77777777" w:rsidR="009C522C" w:rsidRDefault="009C522C" w:rsidP="00973DE5">
      <w:pPr>
        <w:pStyle w:val="BodyText"/>
        <w:spacing w:line="276" w:lineRule="auto"/>
        <w:jc w:val="both"/>
      </w:pPr>
    </w:p>
    <w:p w14:paraId="25B493A5" w14:textId="77777777" w:rsidR="009C522C" w:rsidRDefault="009C522C" w:rsidP="00973DE5">
      <w:pPr>
        <w:pStyle w:val="BodyText"/>
        <w:spacing w:line="276" w:lineRule="auto"/>
        <w:jc w:val="both"/>
      </w:pPr>
    </w:p>
    <w:sectPr w:rsidR="009C522C" w:rsidSect="00892B72">
      <w:type w:val="continuous"/>
      <w:pgSz w:w="11910" w:h="16840"/>
      <w:pgMar w:top="1060" w:right="708" w:bottom="1340" w:left="708" w:header="763" w:footer="1143"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A9152" w14:textId="77777777" w:rsidR="00466864" w:rsidRDefault="00466864">
      <w:r>
        <w:separator/>
      </w:r>
    </w:p>
  </w:endnote>
  <w:endnote w:type="continuationSeparator" w:id="0">
    <w:p w14:paraId="20CFDB5D" w14:textId="77777777" w:rsidR="00466864" w:rsidRDefault="00466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C462" w14:textId="77777777" w:rsidR="00AE5F8F" w:rsidRDefault="00AE5F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678A" w14:textId="77777777" w:rsidR="00AE5F8F" w:rsidRDefault="00AE5F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6556" w14:textId="77777777" w:rsidR="00AE5F8F" w:rsidRDefault="00AE5F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642A" w14:textId="660A5C8C" w:rsidR="00C522ED" w:rsidRDefault="00C522E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B3D9" w14:textId="77777777" w:rsidR="00466864" w:rsidRDefault="00466864">
      <w:r>
        <w:separator/>
      </w:r>
    </w:p>
  </w:footnote>
  <w:footnote w:type="continuationSeparator" w:id="0">
    <w:p w14:paraId="32C59F08" w14:textId="77777777" w:rsidR="00466864" w:rsidRDefault="00466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649C" w14:textId="77777777" w:rsidR="00AE5F8F" w:rsidRDefault="00AE5F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9844" w14:textId="77777777" w:rsidR="00AE5F8F" w:rsidRDefault="00AE5F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75E2" w14:textId="77777777" w:rsidR="00AE5F8F" w:rsidRDefault="00AE5F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E0D9" w14:textId="7B1BE1C5" w:rsidR="00C522ED" w:rsidRDefault="00C522E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EE3"/>
    <w:multiLevelType w:val="hybridMultilevel"/>
    <w:tmpl w:val="945AA6EA"/>
    <w:lvl w:ilvl="0" w:tplc="10000013">
      <w:start w:val="1"/>
      <w:numFmt w:val="upperRoman"/>
      <w:lvlText w:val="%1."/>
      <w:lvlJc w:val="right"/>
      <w:pPr>
        <w:ind w:left="862" w:hanging="360"/>
      </w:pPr>
      <w:rPr>
        <w:rFonts w:hint="default"/>
        <w:b w:val="0"/>
        <w:bCs w:val="0"/>
        <w:i w:val="0"/>
        <w:iCs w:val="0"/>
        <w:spacing w:val="0"/>
        <w:w w:val="100"/>
        <w:sz w:val="22"/>
        <w:szCs w:val="22"/>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 w15:restartNumberingAfterBreak="0">
    <w:nsid w:val="058E3AA4"/>
    <w:multiLevelType w:val="hybridMultilevel"/>
    <w:tmpl w:val="D5AA5CA0"/>
    <w:lvl w:ilvl="0" w:tplc="4582E254">
      <w:start w:val="1"/>
      <w:numFmt w:val="upperRoman"/>
      <w:lvlText w:val="%1."/>
      <w:lvlJc w:val="left"/>
      <w:pPr>
        <w:ind w:left="720" w:hanging="360"/>
      </w:pPr>
      <w:rPr>
        <w:rFonts w:ascii="Cambria" w:eastAsia="Cambria" w:hAnsi="Cambria" w:cs="Cambria" w:hint="default"/>
        <w:b/>
        <w:bCs/>
        <w:i w:val="0"/>
        <w:iCs w:val="0"/>
        <w:spacing w:val="-1"/>
        <w:w w:val="95"/>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BE4422"/>
    <w:multiLevelType w:val="hybridMultilevel"/>
    <w:tmpl w:val="175EBAE2"/>
    <w:lvl w:ilvl="0" w:tplc="FCA04B7C">
      <w:start w:val="1"/>
      <w:numFmt w:val="decimal"/>
      <w:lvlText w:val="%1."/>
      <w:lvlJc w:val="left"/>
      <w:pPr>
        <w:ind w:left="103" w:hanging="222"/>
      </w:pPr>
      <w:rPr>
        <w:rFonts w:ascii="Sylfaen" w:eastAsia="Sylfaen" w:hAnsi="Sylfaen" w:cs="Sylfaen" w:hint="default"/>
        <w:b w:val="0"/>
        <w:bCs w:val="0"/>
        <w:i w:val="0"/>
        <w:iCs w:val="0"/>
        <w:spacing w:val="0"/>
        <w:w w:val="100"/>
        <w:sz w:val="22"/>
        <w:szCs w:val="22"/>
        <w:lang w:val="en-US" w:eastAsia="en-US" w:bidi="ar-SA"/>
      </w:rPr>
    </w:lvl>
    <w:lvl w:ilvl="1" w:tplc="64AA6D60">
      <w:numFmt w:val="bullet"/>
      <w:lvlText w:val="-"/>
      <w:lvlJc w:val="left"/>
      <w:pPr>
        <w:ind w:left="103" w:hanging="258"/>
      </w:pPr>
      <w:rPr>
        <w:rFonts w:ascii="Sylfaen" w:eastAsia="Sylfaen" w:hAnsi="Sylfaen" w:cs="Sylfaen" w:hint="default"/>
        <w:b w:val="0"/>
        <w:bCs w:val="0"/>
        <w:i w:val="0"/>
        <w:iCs w:val="0"/>
        <w:spacing w:val="0"/>
        <w:w w:val="100"/>
        <w:sz w:val="22"/>
        <w:szCs w:val="22"/>
        <w:lang w:val="en-US" w:eastAsia="en-US" w:bidi="ar-SA"/>
      </w:rPr>
    </w:lvl>
    <w:lvl w:ilvl="2" w:tplc="9A1CAEDA">
      <w:numFmt w:val="bullet"/>
      <w:lvlText w:val="•"/>
      <w:lvlJc w:val="left"/>
      <w:pPr>
        <w:ind w:left="1121" w:hanging="258"/>
      </w:pPr>
      <w:rPr>
        <w:rFonts w:hint="default"/>
        <w:lang w:val="en-US" w:eastAsia="en-US" w:bidi="ar-SA"/>
      </w:rPr>
    </w:lvl>
    <w:lvl w:ilvl="3" w:tplc="70F26AE6">
      <w:numFmt w:val="bullet"/>
      <w:lvlText w:val="•"/>
      <w:lvlJc w:val="left"/>
      <w:pPr>
        <w:ind w:left="1632" w:hanging="258"/>
      </w:pPr>
      <w:rPr>
        <w:rFonts w:hint="default"/>
        <w:lang w:val="en-US" w:eastAsia="en-US" w:bidi="ar-SA"/>
      </w:rPr>
    </w:lvl>
    <w:lvl w:ilvl="4" w:tplc="97C04A50">
      <w:numFmt w:val="bullet"/>
      <w:lvlText w:val="•"/>
      <w:lvlJc w:val="left"/>
      <w:pPr>
        <w:ind w:left="2142" w:hanging="258"/>
      </w:pPr>
      <w:rPr>
        <w:rFonts w:hint="default"/>
        <w:lang w:val="en-US" w:eastAsia="en-US" w:bidi="ar-SA"/>
      </w:rPr>
    </w:lvl>
    <w:lvl w:ilvl="5" w:tplc="437E923A">
      <w:numFmt w:val="bullet"/>
      <w:lvlText w:val="•"/>
      <w:lvlJc w:val="left"/>
      <w:pPr>
        <w:ind w:left="2653" w:hanging="258"/>
      </w:pPr>
      <w:rPr>
        <w:rFonts w:hint="default"/>
        <w:lang w:val="en-US" w:eastAsia="en-US" w:bidi="ar-SA"/>
      </w:rPr>
    </w:lvl>
    <w:lvl w:ilvl="6" w:tplc="4A922704">
      <w:numFmt w:val="bullet"/>
      <w:lvlText w:val="•"/>
      <w:lvlJc w:val="left"/>
      <w:pPr>
        <w:ind w:left="3164" w:hanging="258"/>
      </w:pPr>
      <w:rPr>
        <w:rFonts w:hint="default"/>
        <w:lang w:val="en-US" w:eastAsia="en-US" w:bidi="ar-SA"/>
      </w:rPr>
    </w:lvl>
    <w:lvl w:ilvl="7" w:tplc="0EFEA7D4">
      <w:numFmt w:val="bullet"/>
      <w:lvlText w:val="•"/>
      <w:lvlJc w:val="left"/>
      <w:pPr>
        <w:ind w:left="3674" w:hanging="258"/>
      </w:pPr>
      <w:rPr>
        <w:rFonts w:hint="default"/>
        <w:lang w:val="en-US" w:eastAsia="en-US" w:bidi="ar-SA"/>
      </w:rPr>
    </w:lvl>
    <w:lvl w:ilvl="8" w:tplc="DCB6CF8A">
      <w:numFmt w:val="bullet"/>
      <w:lvlText w:val="•"/>
      <w:lvlJc w:val="left"/>
      <w:pPr>
        <w:ind w:left="4185" w:hanging="258"/>
      </w:pPr>
      <w:rPr>
        <w:rFonts w:hint="default"/>
        <w:lang w:val="en-US" w:eastAsia="en-US" w:bidi="ar-SA"/>
      </w:rPr>
    </w:lvl>
  </w:abstractNum>
  <w:abstractNum w:abstractNumId="3" w15:restartNumberingAfterBreak="0">
    <w:nsid w:val="07A56A11"/>
    <w:multiLevelType w:val="hybridMultilevel"/>
    <w:tmpl w:val="DA22044E"/>
    <w:lvl w:ilvl="0" w:tplc="10000013">
      <w:start w:val="1"/>
      <w:numFmt w:val="upperRoman"/>
      <w:lvlText w:val="%1."/>
      <w:lvlJc w:val="right"/>
      <w:pPr>
        <w:ind w:left="720" w:hanging="360"/>
      </w:pPr>
      <w:rPr>
        <w:rFonts w:hint="default"/>
        <w:b w:val="0"/>
        <w:bCs w:val="0"/>
        <w:i w:val="0"/>
        <w:iCs w:val="0"/>
        <w:spacing w:val="0"/>
        <w:w w:val="100"/>
        <w:sz w:val="22"/>
        <w:szCs w:val="22"/>
        <w:lang w:val="en-US" w:eastAsia="en-US" w:bidi="ar-S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8710B2D"/>
    <w:multiLevelType w:val="multilevel"/>
    <w:tmpl w:val="5858ABFC"/>
    <w:lvl w:ilvl="0">
      <w:start w:val="7"/>
      <w:numFmt w:val="upperRoman"/>
      <w:lvlText w:val="%1."/>
      <w:lvlJc w:val="right"/>
      <w:pPr>
        <w:ind w:left="720" w:hanging="360"/>
      </w:pPr>
      <w:rPr>
        <w:rFonts w:hint="default"/>
        <w:b w:val="0"/>
        <w:bCs w:val="0"/>
        <w:i w:val="0"/>
        <w:iCs w:val="0"/>
        <w:spacing w:val="0"/>
        <w:w w:val="100"/>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91E6856"/>
    <w:multiLevelType w:val="hybridMultilevel"/>
    <w:tmpl w:val="D7D48788"/>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09512ADF"/>
    <w:multiLevelType w:val="hybridMultilevel"/>
    <w:tmpl w:val="465A4A6A"/>
    <w:lvl w:ilvl="0" w:tplc="FFFFFFFF">
      <w:start w:val="2"/>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0C1E53"/>
    <w:multiLevelType w:val="hybridMultilevel"/>
    <w:tmpl w:val="299E2142"/>
    <w:lvl w:ilvl="0" w:tplc="CEF62F68">
      <w:start w:val="1"/>
      <w:numFmt w:val="upperRoman"/>
      <w:lvlText w:val="%1."/>
      <w:lvlJc w:val="left"/>
      <w:pPr>
        <w:ind w:left="1146" w:hanging="360"/>
      </w:pPr>
      <w:rPr>
        <w:rFonts w:ascii="Cambria" w:eastAsia="Cambria" w:hAnsi="Cambria" w:cs="Cambria" w:hint="default"/>
        <w:b/>
        <w:bCs/>
        <w:i w:val="0"/>
        <w:iCs w:val="0"/>
        <w:spacing w:val="-1"/>
        <w:w w:val="95"/>
        <w:sz w:val="22"/>
        <w:szCs w:val="22"/>
        <w:lang w:val="en-US" w:eastAsia="en-US" w:bidi="ar-SA"/>
      </w:rPr>
    </w:lvl>
    <w:lvl w:ilvl="1" w:tplc="10000019" w:tentative="1">
      <w:start w:val="1"/>
      <w:numFmt w:val="lowerLetter"/>
      <w:lvlText w:val="%2."/>
      <w:lvlJc w:val="left"/>
      <w:pPr>
        <w:ind w:left="1866" w:hanging="360"/>
      </w:pPr>
    </w:lvl>
    <w:lvl w:ilvl="2" w:tplc="1000001B" w:tentative="1">
      <w:start w:val="1"/>
      <w:numFmt w:val="lowerRoman"/>
      <w:lvlText w:val="%3."/>
      <w:lvlJc w:val="right"/>
      <w:pPr>
        <w:ind w:left="2586" w:hanging="180"/>
      </w:pPr>
    </w:lvl>
    <w:lvl w:ilvl="3" w:tplc="1000000F" w:tentative="1">
      <w:start w:val="1"/>
      <w:numFmt w:val="decimal"/>
      <w:lvlText w:val="%4."/>
      <w:lvlJc w:val="left"/>
      <w:pPr>
        <w:ind w:left="3306" w:hanging="360"/>
      </w:pPr>
    </w:lvl>
    <w:lvl w:ilvl="4" w:tplc="10000019" w:tentative="1">
      <w:start w:val="1"/>
      <w:numFmt w:val="lowerLetter"/>
      <w:lvlText w:val="%5."/>
      <w:lvlJc w:val="left"/>
      <w:pPr>
        <w:ind w:left="4026" w:hanging="360"/>
      </w:pPr>
    </w:lvl>
    <w:lvl w:ilvl="5" w:tplc="1000001B" w:tentative="1">
      <w:start w:val="1"/>
      <w:numFmt w:val="lowerRoman"/>
      <w:lvlText w:val="%6."/>
      <w:lvlJc w:val="right"/>
      <w:pPr>
        <w:ind w:left="4746" w:hanging="180"/>
      </w:pPr>
    </w:lvl>
    <w:lvl w:ilvl="6" w:tplc="1000000F" w:tentative="1">
      <w:start w:val="1"/>
      <w:numFmt w:val="decimal"/>
      <w:lvlText w:val="%7."/>
      <w:lvlJc w:val="left"/>
      <w:pPr>
        <w:ind w:left="5466" w:hanging="360"/>
      </w:pPr>
    </w:lvl>
    <w:lvl w:ilvl="7" w:tplc="10000019" w:tentative="1">
      <w:start w:val="1"/>
      <w:numFmt w:val="lowerLetter"/>
      <w:lvlText w:val="%8."/>
      <w:lvlJc w:val="left"/>
      <w:pPr>
        <w:ind w:left="6186" w:hanging="360"/>
      </w:pPr>
    </w:lvl>
    <w:lvl w:ilvl="8" w:tplc="1000001B" w:tentative="1">
      <w:start w:val="1"/>
      <w:numFmt w:val="lowerRoman"/>
      <w:lvlText w:val="%9."/>
      <w:lvlJc w:val="right"/>
      <w:pPr>
        <w:ind w:left="6906" w:hanging="180"/>
      </w:pPr>
    </w:lvl>
  </w:abstractNum>
  <w:abstractNum w:abstractNumId="8" w15:restartNumberingAfterBreak="0">
    <w:nsid w:val="0A4F3A31"/>
    <w:multiLevelType w:val="multilevel"/>
    <w:tmpl w:val="9C468FE0"/>
    <w:lvl w:ilvl="0">
      <w:start w:val="4"/>
      <w:numFmt w:val="upperRoman"/>
      <w:lvlText w:val="%1."/>
      <w:lvlJc w:val="right"/>
      <w:pPr>
        <w:ind w:left="720" w:hanging="360"/>
      </w:pPr>
      <w:rPr>
        <w:rFonts w:hint="default"/>
        <w:b w:val="0"/>
        <w:bCs w:val="0"/>
        <w:i w:val="0"/>
        <w:iCs w:val="0"/>
        <w:spacing w:val="0"/>
        <w:w w:val="100"/>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94C2487"/>
    <w:multiLevelType w:val="hybridMultilevel"/>
    <w:tmpl w:val="4D900C3C"/>
    <w:lvl w:ilvl="0" w:tplc="4EE6203E">
      <w:start w:val="1"/>
      <w:numFmt w:val="lowerRoman"/>
      <w:lvlText w:val="%1."/>
      <w:lvlJc w:val="right"/>
      <w:pPr>
        <w:ind w:left="1915" w:hanging="288"/>
        <w:jc w:val="right"/>
      </w:pPr>
      <w:rPr>
        <w:rFonts w:hint="default"/>
        <w:b/>
        <w:bCs/>
        <w:i w:val="0"/>
        <w:iCs w:val="0"/>
        <w:spacing w:val="-1"/>
        <w:w w:val="95"/>
        <w:sz w:val="22"/>
        <w:szCs w:val="22"/>
        <w:lang w:val="en-US" w:eastAsia="en-US" w:bidi="ar-SA"/>
      </w:rPr>
    </w:lvl>
    <w:lvl w:ilvl="1" w:tplc="FFFFFFFF">
      <w:numFmt w:val="bullet"/>
      <w:lvlText w:val="•"/>
      <w:lvlJc w:val="left"/>
      <w:pPr>
        <w:ind w:left="2242" w:hanging="288"/>
      </w:pPr>
      <w:rPr>
        <w:rFonts w:hint="default"/>
        <w:lang w:val="en-US" w:eastAsia="en-US" w:bidi="ar-SA"/>
      </w:rPr>
    </w:lvl>
    <w:lvl w:ilvl="2" w:tplc="FFFFFFFF">
      <w:numFmt w:val="bullet"/>
      <w:lvlText w:val="•"/>
      <w:lvlJc w:val="left"/>
      <w:pPr>
        <w:ind w:left="2565" w:hanging="288"/>
      </w:pPr>
      <w:rPr>
        <w:rFonts w:hint="default"/>
        <w:lang w:val="en-US" w:eastAsia="en-US" w:bidi="ar-SA"/>
      </w:rPr>
    </w:lvl>
    <w:lvl w:ilvl="3" w:tplc="FFFFFFFF">
      <w:numFmt w:val="bullet"/>
      <w:lvlText w:val="•"/>
      <w:lvlJc w:val="left"/>
      <w:pPr>
        <w:ind w:left="2887" w:hanging="288"/>
      </w:pPr>
      <w:rPr>
        <w:rFonts w:hint="default"/>
        <w:lang w:val="en-US" w:eastAsia="en-US" w:bidi="ar-SA"/>
      </w:rPr>
    </w:lvl>
    <w:lvl w:ilvl="4" w:tplc="FFFFFFFF">
      <w:numFmt w:val="bullet"/>
      <w:lvlText w:val="•"/>
      <w:lvlJc w:val="left"/>
      <w:pPr>
        <w:ind w:left="3210" w:hanging="288"/>
      </w:pPr>
      <w:rPr>
        <w:rFonts w:hint="default"/>
        <w:lang w:val="en-US" w:eastAsia="en-US" w:bidi="ar-SA"/>
      </w:rPr>
    </w:lvl>
    <w:lvl w:ilvl="5" w:tplc="FFFFFFFF">
      <w:numFmt w:val="bullet"/>
      <w:lvlText w:val="•"/>
      <w:lvlJc w:val="left"/>
      <w:pPr>
        <w:ind w:left="3532" w:hanging="288"/>
      </w:pPr>
      <w:rPr>
        <w:rFonts w:hint="default"/>
        <w:lang w:val="en-US" w:eastAsia="en-US" w:bidi="ar-SA"/>
      </w:rPr>
    </w:lvl>
    <w:lvl w:ilvl="6" w:tplc="FFFFFFFF">
      <w:numFmt w:val="bullet"/>
      <w:lvlText w:val="•"/>
      <w:lvlJc w:val="left"/>
      <w:pPr>
        <w:ind w:left="3855" w:hanging="288"/>
      </w:pPr>
      <w:rPr>
        <w:rFonts w:hint="default"/>
        <w:lang w:val="en-US" w:eastAsia="en-US" w:bidi="ar-SA"/>
      </w:rPr>
    </w:lvl>
    <w:lvl w:ilvl="7" w:tplc="FFFFFFFF">
      <w:numFmt w:val="bullet"/>
      <w:lvlText w:val="•"/>
      <w:lvlJc w:val="left"/>
      <w:pPr>
        <w:ind w:left="4177" w:hanging="288"/>
      </w:pPr>
      <w:rPr>
        <w:rFonts w:hint="default"/>
        <w:lang w:val="en-US" w:eastAsia="en-US" w:bidi="ar-SA"/>
      </w:rPr>
    </w:lvl>
    <w:lvl w:ilvl="8" w:tplc="FFFFFFFF">
      <w:numFmt w:val="bullet"/>
      <w:lvlText w:val="•"/>
      <w:lvlJc w:val="left"/>
      <w:pPr>
        <w:ind w:left="4500" w:hanging="288"/>
      </w:pPr>
      <w:rPr>
        <w:rFonts w:hint="default"/>
        <w:lang w:val="en-US" w:eastAsia="en-US" w:bidi="ar-SA"/>
      </w:rPr>
    </w:lvl>
  </w:abstractNum>
  <w:abstractNum w:abstractNumId="10" w15:restartNumberingAfterBreak="0">
    <w:nsid w:val="1D41025F"/>
    <w:multiLevelType w:val="hybridMultilevel"/>
    <w:tmpl w:val="6E2AE3FA"/>
    <w:lvl w:ilvl="0" w:tplc="7800FAD8">
      <w:start w:val="3"/>
      <w:numFmt w:val="lowerRoman"/>
      <w:lvlText w:val="%1."/>
      <w:lvlJc w:val="right"/>
      <w:pPr>
        <w:ind w:left="720" w:hanging="360"/>
      </w:pPr>
      <w:rPr>
        <w:rFonts w:hint="default"/>
        <w:b w:val="0"/>
        <w:bCs w:val="0"/>
        <w:i w:val="0"/>
        <w:iCs w:val="0"/>
        <w:spacing w:val="0"/>
        <w:w w:val="100"/>
        <w:sz w:val="22"/>
        <w:szCs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FD727C9"/>
    <w:multiLevelType w:val="hybridMultilevel"/>
    <w:tmpl w:val="166ED4DE"/>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06A483C"/>
    <w:multiLevelType w:val="multilevel"/>
    <w:tmpl w:val="B1940AF6"/>
    <w:lvl w:ilvl="0">
      <w:start w:val="1"/>
      <w:numFmt w:val="lowerRoman"/>
      <w:lvlText w:val="%1."/>
      <w:lvlJc w:val="righ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49A5B80"/>
    <w:multiLevelType w:val="hybridMultilevel"/>
    <w:tmpl w:val="309C395E"/>
    <w:lvl w:ilvl="0" w:tplc="5A90B0AA">
      <w:start w:val="3"/>
      <w:numFmt w:val="lowerRoman"/>
      <w:lvlText w:val="%1."/>
      <w:lvlJc w:val="right"/>
      <w:pPr>
        <w:ind w:left="720" w:hanging="360"/>
      </w:pPr>
      <w:rPr>
        <w:rFonts w:hint="default"/>
        <w:b w:val="0"/>
        <w:bCs w:val="0"/>
        <w:i w:val="0"/>
        <w:iCs w:val="0"/>
        <w:spacing w:val="0"/>
        <w:w w:val="100"/>
        <w:sz w:val="22"/>
        <w:szCs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66D6E1A"/>
    <w:multiLevelType w:val="hybridMultilevel"/>
    <w:tmpl w:val="B2B8F25E"/>
    <w:lvl w:ilvl="0" w:tplc="10000013">
      <w:start w:val="1"/>
      <w:numFmt w:val="upperRoman"/>
      <w:lvlText w:val="%1."/>
      <w:lvlJc w:val="right"/>
      <w:pPr>
        <w:ind w:left="720" w:hanging="360"/>
      </w:pPr>
      <w:rPr>
        <w:rFonts w:hint="default"/>
        <w:b w:val="0"/>
        <w:bCs w:val="0"/>
        <w:i w:val="0"/>
        <w:iCs w:val="0"/>
        <w:spacing w:val="0"/>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783616"/>
    <w:multiLevelType w:val="multilevel"/>
    <w:tmpl w:val="56C4FE0E"/>
    <w:lvl w:ilvl="0">
      <w:start w:val="4"/>
      <w:numFmt w:val="decimal"/>
      <w:lvlText w:val="%1"/>
      <w:lvlJc w:val="left"/>
      <w:pPr>
        <w:ind w:left="434" w:hanging="332"/>
      </w:pPr>
      <w:rPr>
        <w:rFonts w:hint="default"/>
        <w:lang w:val="en-US" w:eastAsia="en-US" w:bidi="ar-SA"/>
      </w:rPr>
    </w:lvl>
    <w:lvl w:ilvl="1">
      <w:start w:val="1"/>
      <w:numFmt w:val="decimal"/>
      <w:lvlText w:val="%1.%2"/>
      <w:lvlJc w:val="left"/>
      <w:pPr>
        <w:ind w:left="434" w:hanging="332"/>
      </w:pPr>
      <w:rPr>
        <w:rFonts w:ascii="Sylfaen" w:eastAsia="Sylfaen" w:hAnsi="Sylfaen" w:cs="Sylfaen" w:hint="default"/>
        <w:b w:val="0"/>
        <w:bCs w:val="0"/>
        <w:i w:val="0"/>
        <w:iCs w:val="0"/>
        <w:spacing w:val="0"/>
        <w:w w:val="100"/>
        <w:sz w:val="22"/>
        <w:szCs w:val="22"/>
        <w:lang w:val="en-US" w:eastAsia="en-US" w:bidi="ar-SA"/>
      </w:rPr>
    </w:lvl>
    <w:lvl w:ilvl="2">
      <w:numFmt w:val="bullet"/>
      <w:lvlText w:val="•"/>
      <w:lvlJc w:val="left"/>
      <w:pPr>
        <w:ind w:left="1381" w:hanging="332"/>
      </w:pPr>
      <w:rPr>
        <w:rFonts w:hint="default"/>
        <w:lang w:val="en-US" w:eastAsia="en-US" w:bidi="ar-SA"/>
      </w:rPr>
    </w:lvl>
    <w:lvl w:ilvl="3">
      <w:numFmt w:val="bullet"/>
      <w:lvlText w:val="•"/>
      <w:lvlJc w:val="left"/>
      <w:pPr>
        <w:ind w:left="1851" w:hanging="332"/>
      </w:pPr>
      <w:rPr>
        <w:rFonts w:hint="default"/>
        <w:lang w:val="en-US" w:eastAsia="en-US" w:bidi="ar-SA"/>
      </w:rPr>
    </w:lvl>
    <w:lvl w:ilvl="4">
      <w:numFmt w:val="bullet"/>
      <w:lvlText w:val="•"/>
      <w:lvlJc w:val="left"/>
      <w:pPr>
        <w:ind w:left="2322" w:hanging="332"/>
      </w:pPr>
      <w:rPr>
        <w:rFonts w:hint="default"/>
        <w:lang w:val="en-US" w:eastAsia="en-US" w:bidi="ar-SA"/>
      </w:rPr>
    </w:lvl>
    <w:lvl w:ilvl="5">
      <w:numFmt w:val="bullet"/>
      <w:lvlText w:val="•"/>
      <w:lvlJc w:val="left"/>
      <w:pPr>
        <w:ind w:left="2792" w:hanging="332"/>
      </w:pPr>
      <w:rPr>
        <w:rFonts w:hint="default"/>
        <w:lang w:val="en-US" w:eastAsia="en-US" w:bidi="ar-SA"/>
      </w:rPr>
    </w:lvl>
    <w:lvl w:ilvl="6">
      <w:numFmt w:val="bullet"/>
      <w:lvlText w:val="•"/>
      <w:lvlJc w:val="left"/>
      <w:pPr>
        <w:ind w:left="3263" w:hanging="332"/>
      </w:pPr>
      <w:rPr>
        <w:rFonts w:hint="default"/>
        <w:lang w:val="en-US" w:eastAsia="en-US" w:bidi="ar-SA"/>
      </w:rPr>
    </w:lvl>
    <w:lvl w:ilvl="7">
      <w:numFmt w:val="bullet"/>
      <w:lvlText w:val="•"/>
      <w:lvlJc w:val="left"/>
      <w:pPr>
        <w:ind w:left="3733" w:hanging="332"/>
      </w:pPr>
      <w:rPr>
        <w:rFonts w:hint="default"/>
        <w:lang w:val="en-US" w:eastAsia="en-US" w:bidi="ar-SA"/>
      </w:rPr>
    </w:lvl>
    <w:lvl w:ilvl="8">
      <w:numFmt w:val="bullet"/>
      <w:lvlText w:val="•"/>
      <w:lvlJc w:val="left"/>
      <w:pPr>
        <w:ind w:left="4204" w:hanging="332"/>
      </w:pPr>
      <w:rPr>
        <w:rFonts w:hint="default"/>
        <w:lang w:val="en-US" w:eastAsia="en-US" w:bidi="ar-SA"/>
      </w:rPr>
    </w:lvl>
  </w:abstractNum>
  <w:abstractNum w:abstractNumId="16" w15:restartNumberingAfterBreak="0">
    <w:nsid w:val="2CE21981"/>
    <w:multiLevelType w:val="multilevel"/>
    <w:tmpl w:val="57468600"/>
    <w:lvl w:ilvl="0">
      <w:start w:val="3"/>
      <w:numFmt w:val="decimal"/>
      <w:lvlText w:val="%1"/>
      <w:lvlJc w:val="left"/>
      <w:pPr>
        <w:ind w:left="434" w:hanging="332"/>
      </w:pPr>
      <w:rPr>
        <w:rFonts w:hint="default"/>
        <w:lang w:val="en-US" w:eastAsia="en-US" w:bidi="ar-SA"/>
      </w:rPr>
    </w:lvl>
    <w:lvl w:ilvl="1">
      <w:start w:val="1"/>
      <w:numFmt w:val="decimal"/>
      <w:lvlText w:val="%1.%2"/>
      <w:lvlJc w:val="left"/>
      <w:pPr>
        <w:ind w:left="434" w:hanging="332"/>
      </w:pPr>
      <w:rPr>
        <w:rFonts w:ascii="Sylfaen" w:eastAsia="Sylfaen" w:hAnsi="Sylfaen" w:cs="Sylfaen" w:hint="default"/>
        <w:b w:val="0"/>
        <w:bCs w:val="0"/>
        <w:i w:val="0"/>
        <w:iCs w:val="0"/>
        <w:spacing w:val="0"/>
        <w:w w:val="100"/>
        <w:sz w:val="22"/>
        <w:szCs w:val="22"/>
        <w:lang w:val="en-US" w:eastAsia="en-US" w:bidi="ar-SA"/>
      </w:rPr>
    </w:lvl>
    <w:lvl w:ilvl="2">
      <w:numFmt w:val="bullet"/>
      <w:lvlText w:val="•"/>
      <w:lvlJc w:val="left"/>
      <w:pPr>
        <w:ind w:left="1393" w:hanging="332"/>
      </w:pPr>
      <w:rPr>
        <w:rFonts w:hint="default"/>
        <w:lang w:val="en-US" w:eastAsia="en-US" w:bidi="ar-SA"/>
      </w:rPr>
    </w:lvl>
    <w:lvl w:ilvl="3">
      <w:numFmt w:val="bullet"/>
      <w:lvlText w:val="•"/>
      <w:lvlJc w:val="left"/>
      <w:pPr>
        <w:ind w:left="1870" w:hanging="332"/>
      </w:pPr>
      <w:rPr>
        <w:rFonts w:hint="default"/>
        <w:lang w:val="en-US" w:eastAsia="en-US" w:bidi="ar-SA"/>
      </w:rPr>
    </w:lvl>
    <w:lvl w:ilvl="4">
      <w:numFmt w:val="bullet"/>
      <w:lvlText w:val="•"/>
      <w:lvlJc w:val="left"/>
      <w:pPr>
        <w:ind w:left="2346" w:hanging="332"/>
      </w:pPr>
      <w:rPr>
        <w:rFonts w:hint="default"/>
        <w:lang w:val="en-US" w:eastAsia="en-US" w:bidi="ar-SA"/>
      </w:rPr>
    </w:lvl>
    <w:lvl w:ilvl="5">
      <w:numFmt w:val="bullet"/>
      <w:lvlText w:val="•"/>
      <w:lvlJc w:val="left"/>
      <w:pPr>
        <w:ind w:left="2823" w:hanging="332"/>
      </w:pPr>
      <w:rPr>
        <w:rFonts w:hint="default"/>
        <w:lang w:val="en-US" w:eastAsia="en-US" w:bidi="ar-SA"/>
      </w:rPr>
    </w:lvl>
    <w:lvl w:ilvl="6">
      <w:numFmt w:val="bullet"/>
      <w:lvlText w:val="•"/>
      <w:lvlJc w:val="left"/>
      <w:pPr>
        <w:ind w:left="3300" w:hanging="332"/>
      </w:pPr>
      <w:rPr>
        <w:rFonts w:hint="default"/>
        <w:lang w:val="en-US" w:eastAsia="en-US" w:bidi="ar-SA"/>
      </w:rPr>
    </w:lvl>
    <w:lvl w:ilvl="7">
      <w:numFmt w:val="bullet"/>
      <w:lvlText w:val="•"/>
      <w:lvlJc w:val="left"/>
      <w:pPr>
        <w:ind w:left="3776" w:hanging="332"/>
      </w:pPr>
      <w:rPr>
        <w:rFonts w:hint="default"/>
        <w:lang w:val="en-US" w:eastAsia="en-US" w:bidi="ar-SA"/>
      </w:rPr>
    </w:lvl>
    <w:lvl w:ilvl="8">
      <w:numFmt w:val="bullet"/>
      <w:lvlText w:val="•"/>
      <w:lvlJc w:val="left"/>
      <w:pPr>
        <w:ind w:left="4253" w:hanging="332"/>
      </w:pPr>
      <w:rPr>
        <w:rFonts w:hint="default"/>
        <w:lang w:val="en-US" w:eastAsia="en-US" w:bidi="ar-SA"/>
      </w:rPr>
    </w:lvl>
  </w:abstractNum>
  <w:abstractNum w:abstractNumId="17" w15:restartNumberingAfterBreak="0">
    <w:nsid w:val="32CA1E8D"/>
    <w:multiLevelType w:val="hybridMultilevel"/>
    <w:tmpl w:val="75E2FF68"/>
    <w:lvl w:ilvl="0" w:tplc="1000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9D30F9"/>
    <w:multiLevelType w:val="multilevel"/>
    <w:tmpl w:val="E95859F0"/>
    <w:lvl w:ilvl="0">
      <w:start w:val="1"/>
      <w:numFmt w:val="decimal"/>
      <w:lvlText w:val="%1"/>
      <w:lvlJc w:val="left"/>
      <w:pPr>
        <w:ind w:left="463" w:hanging="361"/>
      </w:pPr>
      <w:rPr>
        <w:rFonts w:hint="default"/>
        <w:lang w:val="en-US" w:eastAsia="en-US" w:bidi="ar-SA"/>
      </w:rPr>
    </w:lvl>
    <w:lvl w:ilvl="1">
      <w:start w:val="1"/>
      <w:numFmt w:val="decimal"/>
      <w:lvlText w:val="%1.%2"/>
      <w:lvlJc w:val="left"/>
      <w:pPr>
        <w:ind w:left="503" w:hanging="361"/>
      </w:pPr>
      <w:rPr>
        <w:rFonts w:ascii="Sylfaen" w:eastAsia="Sylfaen" w:hAnsi="Sylfaen" w:cs="Sylfaen" w:hint="default"/>
        <w:b w:val="0"/>
        <w:bCs w:val="0"/>
        <w:i w:val="0"/>
        <w:iCs w:val="0"/>
        <w:spacing w:val="0"/>
        <w:w w:val="100"/>
        <w:sz w:val="22"/>
        <w:szCs w:val="22"/>
        <w:lang w:val="en-US" w:eastAsia="en-US" w:bidi="ar-SA"/>
      </w:rPr>
    </w:lvl>
    <w:lvl w:ilvl="2">
      <w:start w:val="1"/>
      <w:numFmt w:val="decimal"/>
      <w:lvlText w:val="%3."/>
      <w:lvlJc w:val="left"/>
      <w:pPr>
        <w:ind w:left="823" w:hanging="360"/>
      </w:pPr>
      <w:rPr>
        <w:rFonts w:ascii="Sylfaen" w:eastAsia="Sylfaen" w:hAnsi="Sylfaen" w:cs="Sylfaen" w:hint="default"/>
        <w:b w:val="0"/>
        <w:bCs w:val="0"/>
        <w:i w:val="0"/>
        <w:iCs w:val="0"/>
        <w:spacing w:val="0"/>
        <w:w w:val="100"/>
        <w:sz w:val="22"/>
        <w:szCs w:val="22"/>
        <w:lang w:val="en-US" w:eastAsia="en-US" w:bidi="ar-SA"/>
      </w:rPr>
    </w:lvl>
    <w:lvl w:ilvl="3">
      <w:numFmt w:val="bullet"/>
      <w:lvlText w:val="•"/>
      <w:lvlJc w:val="left"/>
      <w:pPr>
        <w:ind w:left="1794" w:hanging="360"/>
      </w:pPr>
      <w:rPr>
        <w:rFonts w:hint="default"/>
        <w:lang w:val="en-US" w:eastAsia="en-US" w:bidi="ar-SA"/>
      </w:rPr>
    </w:lvl>
    <w:lvl w:ilvl="4">
      <w:numFmt w:val="bullet"/>
      <w:lvlText w:val="•"/>
      <w:lvlJc w:val="left"/>
      <w:pPr>
        <w:ind w:left="2282" w:hanging="360"/>
      </w:pPr>
      <w:rPr>
        <w:rFonts w:hint="default"/>
        <w:lang w:val="en-US" w:eastAsia="en-US" w:bidi="ar-SA"/>
      </w:rPr>
    </w:lvl>
    <w:lvl w:ilvl="5">
      <w:numFmt w:val="bullet"/>
      <w:lvlText w:val="•"/>
      <w:lvlJc w:val="left"/>
      <w:pPr>
        <w:ind w:left="2769" w:hanging="360"/>
      </w:pPr>
      <w:rPr>
        <w:rFonts w:hint="default"/>
        <w:lang w:val="en-US" w:eastAsia="en-US" w:bidi="ar-SA"/>
      </w:rPr>
    </w:lvl>
    <w:lvl w:ilvl="6">
      <w:numFmt w:val="bullet"/>
      <w:lvlText w:val="•"/>
      <w:lvlJc w:val="left"/>
      <w:pPr>
        <w:ind w:left="3257" w:hanging="360"/>
      </w:pPr>
      <w:rPr>
        <w:rFonts w:hint="default"/>
        <w:lang w:val="en-US" w:eastAsia="en-US" w:bidi="ar-SA"/>
      </w:rPr>
    </w:lvl>
    <w:lvl w:ilvl="7">
      <w:numFmt w:val="bullet"/>
      <w:lvlText w:val="•"/>
      <w:lvlJc w:val="left"/>
      <w:pPr>
        <w:ind w:left="3744" w:hanging="360"/>
      </w:pPr>
      <w:rPr>
        <w:rFonts w:hint="default"/>
        <w:lang w:val="en-US" w:eastAsia="en-US" w:bidi="ar-SA"/>
      </w:rPr>
    </w:lvl>
    <w:lvl w:ilvl="8">
      <w:numFmt w:val="bullet"/>
      <w:lvlText w:val="•"/>
      <w:lvlJc w:val="left"/>
      <w:pPr>
        <w:ind w:left="4232" w:hanging="360"/>
      </w:pPr>
      <w:rPr>
        <w:rFonts w:hint="default"/>
        <w:lang w:val="en-US" w:eastAsia="en-US" w:bidi="ar-SA"/>
      </w:rPr>
    </w:lvl>
  </w:abstractNum>
  <w:abstractNum w:abstractNumId="19" w15:restartNumberingAfterBreak="0">
    <w:nsid w:val="34A4434A"/>
    <w:multiLevelType w:val="hybridMultilevel"/>
    <w:tmpl w:val="70723C28"/>
    <w:lvl w:ilvl="0" w:tplc="7E3403BA">
      <w:start w:val="3"/>
      <w:numFmt w:val="lowerRoman"/>
      <w:lvlText w:val="%1."/>
      <w:lvlJc w:val="right"/>
      <w:pPr>
        <w:ind w:left="775" w:hanging="360"/>
      </w:pPr>
      <w:rPr>
        <w:rFonts w:hint="default"/>
        <w:b w:val="0"/>
        <w:bCs w:val="0"/>
        <w:i w:val="0"/>
        <w:iCs w:val="0"/>
        <w:spacing w:val="0"/>
        <w:w w:val="100"/>
        <w:sz w:val="22"/>
        <w:szCs w:val="22"/>
      </w:rPr>
    </w:lvl>
    <w:lvl w:ilvl="1" w:tplc="10000019" w:tentative="1">
      <w:start w:val="1"/>
      <w:numFmt w:val="lowerLetter"/>
      <w:lvlText w:val="%2."/>
      <w:lvlJc w:val="left"/>
      <w:pPr>
        <w:ind w:left="1495" w:hanging="360"/>
      </w:pPr>
    </w:lvl>
    <w:lvl w:ilvl="2" w:tplc="1000001B" w:tentative="1">
      <w:start w:val="1"/>
      <w:numFmt w:val="lowerRoman"/>
      <w:lvlText w:val="%3."/>
      <w:lvlJc w:val="right"/>
      <w:pPr>
        <w:ind w:left="2215" w:hanging="180"/>
      </w:pPr>
    </w:lvl>
    <w:lvl w:ilvl="3" w:tplc="1000000F" w:tentative="1">
      <w:start w:val="1"/>
      <w:numFmt w:val="decimal"/>
      <w:lvlText w:val="%4."/>
      <w:lvlJc w:val="left"/>
      <w:pPr>
        <w:ind w:left="2935" w:hanging="360"/>
      </w:pPr>
    </w:lvl>
    <w:lvl w:ilvl="4" w:tplc="10000019" w:tentative="1">
      <w:start w:val="1"/>
      <w:numFmt w:val="lowerLetter"/>
      <w:lvlText w:val="%5."/>
      <w:lvlJc w:val="left"/>
      <w:pPr>
        <w:ind w:left="3655" w:hanging="360"/>
      </w:pPr>
    </w:lvl>
    <w:lvl w:ilvl="5" w:tplc="1000001B" w:tentative="1">
      <w:start w:val="1"/>
      <w:numFmt w:val="lowerRoman"/>
      <w:lvlText w:val="%6."/>
      <w:lvlJc w:val="right"/>
      <w:pPr>
        <w:ind w:left="4375" w:hanging="180"/>
      </w:pPr>
    </w:lvl>
    <w:lvl w:ilvl="6" w:tplc="1000000F" w:tentative="1">
      <w:start w:val="1"/>
      <w:numFmt w:val="decimal"/>
      <w:lvlText w:val="%7."/>
      <w:lvlJc w:val="left"/>
      <w:pPr>
        <w:ind w:left="5095" w:hanging="360"/>
      </w:pPr>
    </w:lvl>
    <w:lvl w:ilvl="7" w:tplc="10000019" w:tentative="1">
      <w:start w:val="1"/>
      <w:numFmt w:val="lowerLetter"/>
      <w:lvlText w:val="%8."/>
      <w:lvlJc w:val="left"/>
      <w:pPr>
        <w:ind w:left="5815" w:hanging="360"/>
      </w:pPr>
    </w:lvl>
    <w:lvl w:ilvl="8" w:tplc="1000001B" w:tentative="1">
      <w:start w:val="1"/>
      <w:numFmt w:val="lowerRoman"/>
      <w:lvlText w:val="%9."/>
      <w:lvlJc w:val="right"/>
      <w:pPr>
        <w:ind w:left="6535" w:hanging="180"/>
      </w:pPr>
    </w:lvl>
  </w:abstractNum>
  <w:abstractNum w:abstractNumId="20" w15:restartNumberingAfterBreak="0">
    <w:nsid w:val="34A60AEC"/>
    <w:multiLevelType w:val="hybridMultilevel"/>
    <w:tmpl w:val="58AAE50A"/>
    <w:lvl w:ilvl="0" w:tplc="7800FAD8">
      <w:start w:val="3"/>
      <w:numFmt w:val="lowerRoman"/>
      <w:lvlText w:val="%1."/>
      <w:lvlJc w:val="right"/>
      <w:pPr>
        <w:ind w:left="720" w:hanging="360"/>
      </w:pPr>
      <w:rPr>
        <w:rFonts w:hint="default"/>
        <w:b w:val="0"/>
        <w:bCs w:val="0"/>
        <w:i w:val="0"/>
        <w:iCs w:val="0"/>
        <w:spacing w:val="0"/>
        <w:w w:val="100"/>
        <w:sz w:val="22"/>
        <w:szCs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38137A89"/>
    <w:multiLevelType w:val="multilevel"/>
    <w:tmpl w:val="7CF09D68"/>
    <w:lvl w:ilvl="0">
      <w:start w:val="6"/>
      <w:numFmt w:val="decimal"/>
      <w:lvlText w:val="%1"/>
      <w:lvlJc w:val="left"/>
      <w:pPr>
        <w:ind w:left="434" w:hanging="332"/>
      </w:pPr>
      <w:rPr>
        <w:rFonts w:hint="default"/>
        <w:lang w:val="en-US" w:eastAsia="en-US" w:bidi="ar-SA"/>
      </w:rPr>
    </w:lvl>
    <w:lvl w:ilvl="1">
      <w:start w:val="1"/>
      <w:numFmt w:val="decimal"/>
      <w:lvlText w:val="%1.%2"/>
      <w:lvlJc w:val="left"/>
      <w:pPr>
        <w:ind w:left="434" w:hanging="332"/>
      </w:pPr>
      <w:rPr>
        <w:rFonts w:ascii="Sylfaen" w:eastAsia="Sylfaen" w:hAnsi="Sylfaen" w:cs="Sylfaen" w:hint="default"/>
        <w:b w:val="0"/>
        <w:bCs w:val="0"/>
        <w:i w:val="0"/>
        <w:iCs w:val="0"/>
        <w:spacing w:val="0"/>
        <w:w w:val="100"/>
        <w:sz w:val="22"/>
        <w:szCs w:val="22"/>
        <w:lang w:val="en-US" w:eastAsia="en-US" w:bidi="ar-SA"/>
      </w:rPr>
    </w:lvl>
    <w:lvl w:ilvl="2">
      <w:numFmt w:val="bullet"/>
      <w:lvlText w:val="•"/>
      <w:lvlJc w:val="left"/>
      <w:pPr>
        <w:ind w:left="1393" w:hanging="332"/>
      </w:pPr>
      <w:rPr>
        <w:rFonts w:hint="default"/>
        <w:lang w:val="en-US" w:eastAsia="en-US" w:bidi="ar-SA"/>
      </w:rPr>
    </w:lvl>
    <w:lvl w:ilvl="3">
      <w:numFmt w:val="bullet"/>
      <w:lvlText w:val="•"/>
      <w:lvlJc w:val="left"/>
      <w:pPr>
        <w:ind w:left="1870" w:hanging="332"/>
      </w:pPr>
      <w:rPr>
        <w:rFonts w:hint="default"/>
        <w:lang w:val="en-US" w:eastAsia="en-US" w:bidi="ar-SA"/>
      </w:rPr>
    </w:lvl>
    <w:lvl w:ilvl="4">
      <w:numFmt w:val="bullet"/>
      <w:lvlText w:val="•"/>
      <w:lvlJc w:val="left"/>
      <w:pPr>
        <w:ind w:left="2346" w:hanging="332"/>
      </w:pPr>
      <w:rPr>
        <w:rFonts w:hint="default"/>
        <w:lang w:val="en-US" w:eastAsia="en-US" w:bidi="ar-SA"/>
      </w:rPr>
    </w:lvl>
    <w:lvl w:ilvl="5">
      <w:numFmt w:val="bullet"/>
      <w:lvlText w:val="•"/>
      <w:lvlJc w:val="left"/>
      <w:pPr>
        <w:ind w:left="2823" w:hanging="332"/>
      </w:pPr>
      <w:rPr>
        <w:rFonts w:hint="default"/>
        <w:lang w:val="en-US" w:eastAsia="en-US" w:bidi="ar-SA"/>
      </w:rPr>
    </w:lvl>
    <w:lvl w:ilvl="6">
      <w:numFmt w:val="bullet"/>
      <w:lvlText w:val="•"/>
      <w:lvlJc w:val="left"/>
      <w:pPr>
        <w:ind w:left="3300" w:hanging="332"/>
      </w:pPr>
      <w:rPr>
        <w:rFonts w:hint="default"/>
        <w:lang w:val="en-US" w:eastAsia="en-US" w:bidi="ar-SA"/>
      </w:rPr>
    </w:lvl>
    <w:lvl w:ilvl="7">
      <w:numFmt w:val="bullet"/>
      <w:lvlText w:val="•"/>
      <w:lvlJc w:val="left"/>
      <w:pPr>
        <w:ind w:left="3776" w:hanging="332"/>
      </w:pPr>
      <w:rPr>
        <w:rFonts w:hint="default"/>
        <w:lang w:val="en-US" w:eastAsia="en-US" w:bidi="ar-SA"/>
      </w:rPr>
    </w:lvl>
    <w:lvl w:ilvl="8">
      <w:numFmt w:val="bullet"/>
      <w:lvlText w:val="•"/>
      <w:lvlJc w:val="left"/>
      <w:pPr>
        <w:ind w:left="4253" w:hanging="332"/>
      </w:pPr>
      <w:rPr>
        <w:rFonts w:hint="default"/>
        <w:lang w:val="en-US" w:eastAsia="en-US" w:bidi="ar-SA"/>
      </w:rPr>
    </w:lvl>
  </w:abstractNum>
  <w:abstractNum w:abstractNumId="22" w15:restartNumberingAfterBreak="0">
    <w:nsid w:val="3B544B7E"/>
    <w:multiLevelType w:val="hybridMultilevel"/>
    <w:tmpl w:val="BA8074E8"/>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3CF824B0"/>
    <w:multiLevelType w:val="multilevel"/>
    <w:tmpl w:val="0BE6CC06"/>
    <w:lvl w:ilvl="0">
      <w:start w:val="2"/>
      <w:numFmt w:val="upperRoman"/>
      <w:lvlText w:val="%1."/>
      <w:lvlJc w:val="left"/>
      <w:pPr>
        <w:ind w:left="463" w:hanging="361"/>
      </w:pPr>
      <w:rPr>
        <w:rFonts w:ascii="Cambria" w:eastAsia="Cambria" w:hAnsi="Cambria" w:cs="Cambria" w:hint="default"/>
        <w:b/>
        <w:bCs/>
        <w:i w:val="0"/>
        <w:iCs w:val="0"/>
        <w:spacing w:val="-1"/>
        <w:w w:val="95"/>
        <w:sz w:val="22"/>
        <w:szCs w:val="22"/>
        <w:lang w:val="en-US" w:eastAsia="en-US" w:bidi="ar-SA"/>
      </w:rPr>
    </w:lvl>
    <w:lvl w:ilvl="1">
      <w:start w:val="1"/>
      <w:numFmt w:val="decimal"/>
      <w:lvlText w:val="%1.%2"/>
      <w:lvlJc w:val="left"/>
      <w:pPr>
        <w:ind w:left="463" w:hanging="361"/>
      </w:pPr>
      <w:rPr>
        <w:rFonts w:ascii="Sylfaen" w:eastAsia="Sylfaen" w:hAnsi="Sylfaen" w:cs="Sylfaen" w:hint="default"/>
        <w:b w:val="0"/>
        <w:bCs w:val="0"/>
        <w:i w:val="0"/>
        <w:iCs w:val="0"/>
        <w:spacing w:val="0"/>
        <w:w w:val="100"/>
        <w:sz w:val="22"/>
        <w:szCs w:val="22"/>
        <w:lang w:val="en-US" w:eastAsia="en-US" w:bidi="ar-SA"/>
      </w:rPr>
    </w:lvl>
    <w:lvl w:ilvl="2">
      <w:start w:val="1"/>
      <w:numFmt w:val="decimal"/>
      <w:lvlText w:val="%3."/>
      <w:lvlJc w:val="left"/>
      <w:pPr>
        <w:ind w:left="823" w:hanging="360"/>
      </w:pPr>
      <w:rPr>
        <w:rFonts w:ascii="Sylfaen" w:eastAsia="Sylfaen" w:hAnsi="Sylfaen" w:cs="Sylfaen" w:hint="default"/>
        <w:b w:val="0"/>
        <w:bCs w:val="0"/>
        <w:i w:val="0"/>
        <w:iCs w:val="0"/>
        <w:spacing w:val="0"/>
        <w:w w:val="100"/>
        <w:sz w:val="22"/>
        <w:szCs w:val="22"/>
        <w:lang w:val="en-US" w:eastAsia="en-US" w:bidi="ar-SA"/>
      </w:rPr>
    </w:lvl>
    <w:lvl w:ilvl="3">
      <w:numFmt w:val="bullet"/>
      <w:lvlText w:val="•"/>
      <w:lvlJc w:val="left"/>
      <w:pPr>
        <w:ind w:left="1794" w:hanging="360"/>
      </w:pPr>
      <w:rPr>
        <w:rFonts w:hint="default"/>
        <w:lang w:val="en-US" w:eastAsia="en-US" w:bidi="ar-SA"/>
      </w:rPr>
    </w:lvl>
    <w:lvl w:ilvl="4">
      <w:numFmt w:val="bullet"/>
      <w:lvlText w:val="•"/>
      <w:lvlJc w:val="left"/>
      <w:pPr>
        <w:ind w:left="2282" w:hanging="360"/>
      </w:pPr>
      <w:rPr>
        <w:rFonts w:hint="default"/>
        <w:lang w:val="en-US" w:eastAsia="en-US" w:bidi="ar-SA"/>
      </w:rPr>
    </w:lvl>
    <w:lvl w:ilvl="5">
      <w:numFmt w:val="bullet"/>
      <w:lvlText w:val="•"/>
      <w:lvlJc w:val="left"/>
      <w:pPr>
        <w:ind w:left="2769" w:hanging="360"/>
      </w:pPr>
      <w:rPr>
        <w:rFonts w:hint="default"/>
        <w:lang w:val="en-US" w:eastAsia="en-US" w:bidi="ar-SA"/>
      </w:rPr>
    </w:lvl>
    <w:lvl w:ilvl="6">
      <w:numFmt w:val="bullet"/>
      <w:lvlText w:val="•"/>
      <w:lvlJc w:val="left"/>
      <w:pPr>
        <w:ind w:left="3257" w:hanging="360"/>
      </w:pPr>
      <w:rPr>
        <w:rFonts w:hint="default"/>
        <w:lang w:val="en-US" w:eastAsia="en-US" w:bidi="ar-SA"/>
      </w:rPr>
    </w:lvl>
    <w:lvl w:ilvl="7">
      <w:numFmt w:val="bullet"/>
      <w:lvlText w:val="•"/>
      <w:lvlJc w:val="left"/>
      <w:pPr>
        <w:ind w:left="3744" w:hanging="360"/>
      </w:pPr>
      <w:rPr>
        <w:rFonts w:hint="default"/>
        <w:lang w:val="en-US" w:eastAsia="en-US" w:bidi="ar-SA"/>
      </w:rPr>
    </w:lvl>
    <w:lvl w:ilvl="8">
      <w:numFmt w:val="bullet"/>
      <w:lvlText w:val="•"/>
      <w:lvlJc w:val="left"/>
      <w:pPr>
        <w:ind w:left="4232" w:hanging="360"/>
      </w:pPr>
      <w:rPr>
        <w:rFonts w:hint="default"/>
        <w:lang w:val="en-US" w:eastAsia="en-US" w:bidi="ar-SA"/>
      </w:rPr>
    </w:lvl>
  </w:abstractNum>
  <w:abstractNum w:abstractNumId="24" w15:restartNumberingAfterBreak="0">
    <w:nsid w:val="3E520842"/>
    <w:multiLevelType w:val="hybridMultilevel"/>
    <w:tmpl w:val="16C623A2"/>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3F8F0C5D"/>
    <w:multiLevelType w:val="hybridMultilevel"/>
    <w:tmpl w:val="032E47E6"/>
    <w:lvl w:ilvl="0" w:tplc="1ECCD9CA">
      <w:start w:val="2"/>
      <w:numFmt w:val="lowerRoman"/>
      <w:lvlText w:val="%1."/>
      <w:lvlJc w:val="right"/>
      <w:pPr>
        <w:ind w:left="648" w:hanging="288"/>
      </w:pPr>
      <w:rPr>
        <w:rFonts w:hint="default"/>
        <w:b/>
        <w:bCs/>
        <w:i w:val="0"/>
        <w:iCs w:val="0"/>
        <w:spacing w:val="-1"/>
        <w:w w:val="95"/>
        <w:sz w:val="22"/>
        <w:szCs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3F944AFD"/>
    <w:multiLevelType w:val="multilevel"/>
    <w:tmpl w:val="037AAF8A"/>
    <w:lvl w:ilvl="0">
      <w:start w:val="5"/>
      <w:numFmt w:val="decimal"/>
      <w:lvlText w:val="%1"/>
      <w:lvlJc w:val="left"/>
      <w:pPr>
        <w:ind w:left="434" w:hanging="332"/>
      </w:pPr>
      <w:rPr>
        <w:rFonts w:hint="default"/>
        <w:lang w:val="en-US" w:eastAsia="en-US" w:bidi="ar-SA"/>
      </w:rPr>
    </w:lvl>
    <w:lvl w:ilvl="1">
      <w:start w:val="1"/>
      <w:numFmt w:val="decimal"/>
      <w:lvlText w:val="%1.%2"/>
      <w:lvlJc w:val="left"/>
      <w:pPr>
        <w:ind w:left="434" w:hanging="332"/>
      </w:pPr>
      <w:rPr>
        <w:rFonts w:ascii="Sylfaen" w:eastAsia="Sylfaen" w:hAnsi="Sylfaen" w:cs="Sylfaen" w:hint="default"/>
        <w:b w:val="0"/>
        <w:bCs w:val="0"/>
        <w:i w:val="0"/>
        <w:iCs w:val="0"/>
        <w:spacing w:val="0"/>
        <w:w w:val="100"/>
        <w:sz w:val="22"/>
        <w:szCs w:val="22"/>
        <w:lang w:val="en-US" w:eastAsia="en-US" w:bidi="ar-SA"/>
      </w:rPr>
    </w:lvl>
    <w:lvl w:ilvl="2">
      <w:numFmt w:val="bullet"/>
      <w:lvlText w:val="•"/>
      <w:lvlJc w:val="left"/>
      <w:pPr>
        <w:ind w:left="1381" w:hanging="332"/>
      </w:pPr>
      <w:rPr>
        <w:rFonts w:hint="default"/>
        <w:lang w:val="en-US" w:eastAsia="en-US" w:bidi="ar-SA"/>
      </w:rPr>
    </w:lvl>
    <w:lvl w:ilvl="3">
      <w:numFmt w:val="bullet"/>
      <w:lvlText w:val="•"/>
      <w:lvlJc w:val="left"/>
      <w:pPr>
        <w:ind w:left="1851" w:hanging="332"/>
      </w:pPr>
      <w:rPr>
        <w:rFonts w:hint="default"/>
        <w:lang w:val="en-US" w:eastAsia="en-US" w:bidi="ar-SA"/>
      </w:rPr>
    </w:lvl>
    <w:lvl w:ilvl="4">
      <w:numFmt w:val="bullet"/>
      <w:lvlText w:val="•"/>
      <w:lvlJc w:val="left"/>
      <w:pPr>
        <w:ind w:left="2322" w:hanging="332"/>
      </w:pPr>
      <w:rPr>
        <w:rFonts w:hint="default"/>
        <w:lang w:val="en-US" w:eastAsia="en-US" w:bidi="ar-SA"/>
      </w:rPr>
    </w:lvl>
    <w:lvl w:ilvl="5">
      <w:numFmt w:val="bullet"/>
      <w:lvlText w:val="•"/>
      <w:lvlJc w:val="left"/>
      <w:pPr>
        <w:ind w:left="2792" w:hanging="332"/>
      </w:pPr>
      <w:rPr>
        <w:rFonts w:hint="default"/>
        <w:lang w:val="en-US" w:eastAsia="en-US" w:bidi="ar-SA"/>
      </w:rPr>
    </w:lvl>
    <w:lvl w:ilvl="6">
      <w:numFmt w:val="bullet"/>
      <w:lvlText w:val="•"/>
      <w:lvlJc w:val="left"/>
      <w:pPr>
        <w:ind w:left="3263" w:hanging="332"/>
      </w:pPr>
      <w:rPr>
        <w:rFonts w:hint="default"/>
        <w:lang w:val="en-US" w:eastAsia="en-US" w:bidi="ar-SA"/>
      </w:rPr>
    </w:lvl>
    <w:lvl w:ilvl="7">
      <w:numFmt w:val="bullet"/>
      <w:lvlText w:val="•"/>
      <w:lvlJc w:val="left"/>
      <w:pPr>
        <w:ind w:left="3733" w:hanging="332"/>
      </w:pPr>
      <w:rPr>
        <w:rFonts w:hint="default"/>
        <w:lang w:val="en-US" w:eastAsia="en-US" w:bidi="ar-SA"/>
      </w:rPr>
    </w:lvl>
    <w:lvl w:ilvl="8">
      <w:numFmt w:val="bullet"/>
      <w:lvlText w:val="•"/>
      <w:lvlJc w:val="left"/>
      <w:pPr>
        <w:ind w:left="4204" w:hanging="332"/>
      </w:pPr>
      <w:rPr>
        <w:rFonts w:hint="default"/>
        <w:lang w:val="en-US" w:eastAsia="en-US" w:bidi="ar-SA"/>
      </w:rPr>
    </w:lvl>
  </w:abstractNum>
  <w:abstractNum w:abstractNumId="27" w15:restartNumberingAfterBreak="0">
    <w:nsid w:val="40011572"/>
    <w:multiLevelType w:val="hybridMultilevel"/>
    <w:tmpl w:val="D6D8A2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0F81C6D"/>
    <w:multiLevelType w:val="multilevel"/>
    <w:tmpl w:val="4A9252AE"/>
    <w:lvl w:ilvl="0">
      <w:start w:val="7"/>
      <w:numFmt w:val="decimal"/>
      <w:lvlText w:val="%1"/>
      <w:lvlJc w:val="left"/>
      <w:pPr>
        <w:ind w:left="434" w:hanging="332"/>
      </w:pPr>
      <w:rPr>
        <w:rFonts w:hint="default"/>
        <w:lang w:val="en-US" w:eastAsia="en-US" w:bidi="ar-SA"/>
      </w:rPr>
    </w:lvl>
    <w:lvl w:ilvl="1">
      <w:start w:val="1"/>
      <w:numFmt w:val="decimal"/>
      <w:lvlText w:val="%1.%2"/>
      <w:lvlJc w:val="left"/>
      <w:pPr>
        <w:ind w:left="434" w:hanging="332"/>
      </w:pPr>
      <w:rPr>
        <w:rFonts w:ascii="Sylfaen" w:eastAsia="Sylfaen" w:hAnsi="Sylfaen" w:cs="Sylfaen" w:hint="default"/>
        <w:b w:val="0"/>
        <w:bCs w:val="0"/>
        <w:i w:val="0"/>
        <w:iCs w:val="0"/>
        <w:spacing w:val="0"/>
        <w:w w:val="100"/>
        <w:sz w:val="22"/>
        <w:szCs w:val="22"/>
        <w:lang w:val="en-US" w:eastAsia="en-US" w:bidi="ar-SA"/>
      </w:rPr>
    </w:lvl>
    <w:lvl w:ilvl="2">
      <w:numFmt w:val="bullet"/>
      <w:lvlText w:val="•"/>
      <w:lvlJc w:val="left"/>
      <w:pPr>
        <w:ind w:left="1381" w:hanging="332"/>
      </w:pPr>
      <w:rPr>
        <w:rFonts w:hint="default"/>
        <w:lang w:val="en-US" w:eastAsia="en-US" w:bidi="ar-SA"/>
      </w:rPr>
    </w:lvl>
    <w:lvl w:ilvl="3">
      <w:numFmt w:val="bullet"/>
      <w:lvlText w:val="•"/>
      <w:lvlJc w:val="left"/>
      <w:pPr>
        <w:ind w:left="1851" w:hanging="332"/>
      </w:pPr>
      <w:rPr>
        <w:rFonts w:hint="default"/>
        <w:lang w:val="en-US" w:eastAsia="en-US" w:bidi="ar-SA"/>
      </w:rPr>
    </w:lvl>
    <w:lvl w:ilvl="4">
      <w:numFmt w:val="bullet"/>
      <w:lvlText w:val="•"/>
      <w:lvlJc w:val="left"/>
      <w:pPr>
        <w:ind w:left="2322" w:hanging="332"/>
      </w:pPr>
      <w:rPr>
        <w:rFonts w:hint="default"/>
        <w:lang w:val="en-US" w:eastAsia="en-US" w:bidi="ar-SA"/>
      </w:rPr>
    </w:lvl>
    <w:lvl w:ilvl="5">
      <w:numFmt w:val="bullet"/>
      <w:lvlText w:val="•"/>
      <w:lvlJc w:val="left"/>
      <w:pPr>
        <w:ind w:left="2792" w:hanging="332"/>
      </w:pPr>
      <w:rPr>
        <w:rFonts w:hint="default"/>
        <w:lang w:val="en-US" w:eastAsia="en-US" w:bidi="ar-SA"/>
      </w:rPr>
    </w:lvl>
    <w:lvl w:ilvl="6">
      <w:numFmt w:val="bullet"/>
      <w:lvlText w:val="•"/>
      <w:lvlJc w:val="left"/>
      <w:pPr>
        <w:ind w:left="3263" w:hanging="332"/>
      </w:pPr>
      <w:rPr>
        <w:rFonts w:hint="default"/>
        <w:lang w:val="en-US" w:eastAsia="en-US" w:bidi="ar-SA"/>
      </w:rPr>
    </w:lvl>
    <w:lvl w:ilvl="7">
      <w:numFmt w:val="bullet"/>
      <w:lvlText w:val="•"/>
      <w:lvlJc w:val="left"/>
      <w:pPr>
        <w:ind w:left="3733" w:hanging="332"/>
      </w:pPr>
      <w:rPr>
        <w:rFonts w:hint="default"/>
        <w:lang w:val="en-US" w:eastAsia="en-US" w:bidi="ar-SA"/>
      </w:rPr>
    </w:lvl>
    <w:lvl w:ilvl="8">
      <w:numFmt w:val="bullet"/>
      <w:lvlText w:val="•"/>
      <w:lvlJc w:val="left"/>
      <w:pPr>
        <w:ind w:left="4204" w:hanging="332"/>
      </w:pPr>
      <w:rPr>
        <w:rFonts w:hint="default"/>
        <w:lang w:val="en-US" w:eastAsia="en-US" w:bidi="ar-SA"/>
      </w:rPr>
    </w:lvl>
  </w:abstractNum>
  <w:abstractNum w:abstractNumId="29" w15:restartNumberingAfterBreak="0">
    <w:nsid w:val="4D44682C"/>
    <w:multiLevelType w:val="hybridMultilevel"/>
    <w:tmpl w:val="465A4A6A"/>
    <w:lvl w:ilvl="0" w:tplc="4E301924">
      <w:start w:val="2"/>
      <w:numFmt w:val="lowerRoman"/>
      <w:lvlText w:val="%1."/>
      <w:lvlJc w:val="righ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4E8B61C0"/>
    <w:multiLevelType w:val="hybridMultilevel"/>
    <w:tmpl w:val="C24A4550"/>
    <w:lvl w:ilvl="0" w:tplc="416C43B2">
      <w:start w:val="1"/>
      <w:numFmt w:val="upperRoman"/>
      <w:lvlText w:val="%1."/>
      <w:lvlJc w:val="left"/>
      <w:pPr>
        <w:ind w:left="1146" w:hanging="360"/>
      </w:pPr>
      <w:rPr>
        <w:rFonts w:ascii="Cambria" w:eastAsia="Cambria" w:hAnsi="Cambria" w:cs="Cambria" w:hint="default"/>
        <w:b/>
        <w:bCs/>
        <w:i w:val="0"/>
        <w:iCs w:val="0"/>
        <w:spacing w:val="-1"/>
        <w:w w:val="95"/>
        <w:sz w:val="22"/>
        <w:szCs w:val="22"/>
        <w:lang w:val="en-US" w:eastAsia="en-US" w:bidi="ar-SA"/>
      </w:rPr>
    </w:lvl>
    <w:lvl w:ilvl="1" w:tplc="10000019" w:tentative="1">
      <w:start w:val="1"/>
      <w:numFmt w:val="lowerLetter"/>
      <w:lvlText w:val="%2."/>
      <w:lvlJc w:val="left"/>
      <w:pPr>
        <w:ind w:left="1866" w:hanging="360"/>
      </w:pPr>
    </w:lvl>
    <w:lvl w:ilvl="2" w:tplc="1000001B" w:tentative="1">
      <w:start w:val="1"/>
      <w:numFmt w:val="lowerRoman"/>
      <w:lvlText w:val="%3."/>
      <w:lvlJc w:val="right"/>
      <w:pPr>
        <w:ind w:left="2586" w:hanging="180"/>
      </w:pPr>
    </w:lvl>
    <w:lvl w:ilvl="3" w:tplc="1000000F" w:tentative="1">
      <w:start w:val="1"/>
      <w:numFmt w:val="decimal"/>
      <w:lvlText w:val="%4."/>
      <w:lvlJc w:val="left"/>
      <w:pPr>
        <w:ind w:left="3306" w:hanging="360"/>
      </w:pPr>
    </w:lvl>
    <w:lvl w:ilvl="4" w:tplc="10000019" w:tentative="1">
      <w:start w:val="1"/>
      <w:numFmt w:val="lowerLetter"/>
      <w:lvlText w:val="%5."/>
      <w:lvlJc w:val="left"/>
      <w:pPr>
        <w:ind w:left="4026" w:hanging="360"/>
      </w:pPr>
    </w:lvl>
    <w:lvl w:ilvl="5" w:tplc="1000001B" w:tentative="1">
      <w:start w:val="1"/>
      <w:numFmt w:val="lowerRoman"/>
      <w:lvlText w:val="%6."/>
      <w:lvlJc w:val="right"/>
      <w:pPr>
        <w:ind w:left="4746" w:hanging="180"/>
      </w:pPr>
    </w:lvl>
    <w:lvl w:ilvl="6" w:tplc="1000000F" w:tentative="1">
      <w:start w:val="1"/>
      <w:numFmt w:val="decimal"/>
      <w:lvlText w:val="%7."/>
      <w:lvlJc w:val="left"/>
      <w:pPr>
        <w:ind w:left="5466" w:hanging="360"/>
      </w:pPr>
    </w:lvl>
    <w:lvl w:ilvl="7" w:tplc="10000019" w:tentative="1">
      <w:start w:val="1"/>
      <w:numFmt w:val="lowerLetter"/>
      <w:lvlText w:val="%8."/>
      <w:lvlJc w:val="left"/>
      <w:pPr>
        <w:ind w:left="6186" w:hanging="360"/>
      </w:pPr>
    </w:lvl>
    <w:lvl w:ilvl="8" w:tplc="1000001B" w:tentative="1">
      <w:start w:val="1"/>
      <w:numFmt w:val="lowerRoman"/>
      <w:lvlText w:val="%9."/>
      <w:lvlJc w:val="right"/>
      <w:pPr>
        <w:ind w:left="6906" w:hanging="180"/>
      </w:pPr>
    </w:lvl>
  </w:abstractNum>
  <w:abstractNum w:abstractNumId="31" w15:restartNumberingAfterBreak="0">
    <w:nsid w:val="513D4D63"/>
    <w:multiLevelType w:val="multilevel"/>
    <w:tmpl w:val="27E046BE"/>
    <w:lvl w:ilvl="0">
      <w:start w:val="2"/>
      <w:numFmt w:val="decimal"/>
      <w:lvlText w:val="%1"/>
      <w:lvlJc w:val="left"/>
      <w:pPr>
        <w:ind w:left="434" w:hanging="332"/>
      </w:pPr>
      <w:rPr>
        <w:rFonts w:hint="default"/>
        <w:lang w:val="en-US" w:eastAsia="en-US" w:bidi="ar-SA"/>
      </w:rPr>
    </w:lvl>
    <w:lvl w:ilvl="1">
      <w:start w:val="1"/>
      <w:numFmt w:val="decimal"/>
      <w:lvlText w:val="%1.%2"/>
      <w:lvlJc w:val="left"/>
      <w:pPr>
        <w:ind w:left="434" w:hanging="332"/>
      </w:pPr>
      <w:rPr>
        <w:rFonts w:ascii="Sylfaen" w:eastAsia="Sylfaen" w:hAnsi="Sylfaen" w:cs="Sylfaen" w:hint="default"/>
        <w:b w:val="0"/>
        <w:bCs w:val="0"/>
        <w:i w:val="0"/>
        <w:iCs w:val="0"/>
        <w:spacing w:val="0"/>
        <w:w w:val="100"/>
        <w:sz w:val="22"/>
        <w:szCs w:val="22"/>
        <w:lang w:val="en-US" w:eastAsia="en-US" w:bidi="ar-SA"/>
      </w:rPr>
    </w:lvl>
    <w:lvl w:ilvl="2">
      <w:numFmt w:val="bullet"/>
      <w:lvlText w:val="•"/>
      <w:lvlJc w:val="left"/>
      <w:pPr>
        <w:ind w:left="1381" w:hanging="332"/>
      </w:pPr>
      <w:rPr>
        <w:rFonts w:hint="default"/>
        <w:lang w:val="en-US" w:eastAsia="en-US" w:bidi="ar-SA"/>
      </w:rPr>
    </w:lvl>
    <w:lvl w:ilvl="3">
      <w:numFmt w:val="bullet"/>
      <w:lvlText w:val="•"/>
      <w:lvlJc w:val="left"/>
      <w:pPr>
        <w:ind w:left="1851" w:hanging="332"/>
      </w:pPr>
      <w:rPr>
        <w:rFonts w:hint="default"/>
        <w:lang w:val="en-US" w:eastAsia="en-US" w:bidi="ar-SA"/>
      </w:rPr>
    </w:lvl>
    <w:lvl w:ilvl="4">
      <w:numFmt w:val="bullet"/>
      <w:lvlText w:val="•"/>
      <w:lvlJc w:val="left"/>
      <w:pPr>
        <w:ind w:left="2322" w:hanging="332"/>
      </w:pPr>
      <w:rPr>
        <w:rFonts w:hint="default"/>
        <w:lang w:val="en-US" w:eastAsia="en-US" w:bidi="ar-SA"/>
      </w:rPr>
    </w:lvl>
    <w:lvl w:ilvl="5">
      <w:numFmt w:val="bullet"/>
      <w:lvlText w:val="•"/>
      <w:lvlJc w:val="left"/>
      <w:pPr>
        <w:ind w:left="2792" w:hanging="332"/>
      </w:pPr>
      <w:rPr>
        <w:rFonts w:hint="default"/>
        <w:lang w:val="en-US" w:eastAsia="en-US" w:bidi="ar-SA"/>
      </w:rPr>
    </w:lvl>
    <w:lvl w:ilvl="6">
      <w:numFmt w:val="bullet"/>
      <w:lvlText w:val="•"/>
      <w:lvlJc w:val="left"/>
      <w:pPr>
        <w:ind w:left="3263" w:hanging="332"/>
      </w:pPr>
      <w:rPr>
        <w:rFonts w:hint="default"/>
        <w:lang w:val="en-US" w:eastAsia="en-US" w:bidi="ar-SA"/>
      </w:rPr>
    </w:lvl>
    <w:lvl w:ilvl="7">
      <w:numFmt w:val="bullet"/>
      <w:lvlText w:val="•"/>
      <w:lvlJc w:val="left"/>
      <w:pPr>
        <w:ind w:left="3733" w:hanging="332"/>
      </w:pPr>
      <w:rPr>
        <w:rFonts w:hint="default"/>
        <w:lang w:val="en-US" w:eastAsia="en-US" w:bidi="ar-SA"/>
      </w:rPr>
    </w:lvl>
    <w:lvl w:ilvl="8">
      <w:numFmt w:val="bullet"/>
      <w:lvlText w:val="•"/>
      <w:lvlJc w:val="left"/>
      <w:pPr>
        <w:ind w:left="4204" w:hanging="332"/>
      </w:pPr>
      <w:rPr>
        <w:rFonts w:hint="default"/>
        <w:lang w:val="en-US" w:eastAsia="en-US" w:bidi="ar-SA"/>
      </w:rPr>
    </w:lvl>
  </w:abstractNum>
  <w:abstractNum w:abstractNumId="32" w15:restartNumberingAfterBreak="0">
    <w:nsid w:val="52346ECC"/>
    <w:multiLevelType w:val="hybridMultilevel"/>
    <w:tmpl w:val="C9289412"/>
    <w:lvl w:ilvl="0" w:tplc="1000001B">
      <w:start w:val="1"/>
      <w:numFmt w:val="lowerRoman"/>
      <w:lvlText w:val="%1."/>
      <w:lvlJc w:val="right"/>
      <w:pPr>
        <w:ind w:left="720" w:hanging="360"/>
      </w:pPr>
      <w:rPr>
        <w:rFonts w:hint="default"/>
        <w:b w:val="0"/>
        <w:bCs w:val="0"/>
        <w:i w:val="0"/>
        <w:iCs w:val="0"/>
        <w:spacing w:val="0"/>
        <w:w w:val="100"/>
        <w:sz w:val="22"/>
        <w:szCs w:val="22"/>
        <w:lang w:val="en-US" w:eastAsia="en-US" w:bidi="ar-S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525C56BD"/>
    <w:multiLevelType w:val="hybridMultilevel"/>
    <w:tmpl w:val="A38CCECE"/>
    <w:lvl w:ilvl="0" w:tplc="FCA04B7C">
      <w:start w:val="1"/>
      <w:numFmt w:val="decimal"/>
      <w:lvlText w:val="%1."/>
      <w:lvlJc w:val="left"/>
      <w:pPr>
        <w:ind w:left="720" w:hanging="360"/>
      </w:pPr>
      <w:rPr>
        <w:rFonts w:ascii="Sylfaen" w:eastAsia="Sylfaen" w:hAnsi="Sylfaen" w:cs="Sylfaen" w:hint="default"/>
        <w:b w:val="0"/>
        <w:bCs w:val="0"/>
        <w:i w:val="0"/>
        <w:iCs w:val="0"/>
        <w:spacing w:val="0"/>
        <w:w w:val="100"/>
        <w:sz w:val="22"/>
        <w:szCs w:val="22"/>
        <w:lang w:val="en-US" w:eastAsia="en-US" w:bidi="ar-S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54201909"/>
    <w:multiLevelType w:val="hybridMultilevel"/>
    <w:tmpl w:val="69DA42CA"/>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55486274"/>
    <w:multiLevelType w:val="multilevel"/>
    <w:tmpl w:val="9C468FE0"/>
    <w:lvl w:ilvl="0">
      <w:start w:val="4"/>
      <w:numFmt w:val="upperRoman"/>
      <w:lvlText w:val="%1."/>
      <w:lvlJc w:val="right"/>
      <w:pPr>
        <w:ind w:left="720" w:hanging="360"/>
      </w:pPr>
      <w:rPr>
        <w:rFonts w:hint="default"/>
        <w:b w:val="0"/>
        <w:bCs w:val="0"/>
        <w:i w:val="0"/>
        <w:iCs w:val="0"/>
        <w:spacing w:val="0"/>
        <w:w w:val="100"/>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555B504F"/>
    <w:multiLevelType w:val="hybridMultilevel"/>
    <w:tmpl w:val="43487554"/>
    <w:lvl w:ilvl="0" w:tplc="58B6CC5C">
      <w:start w:val="2"/>
      <w:numFmt w:val="lowerRoman"/>
      <w:lvlText w:val="%1."/>
      <w:lvlJc w:val="right"/>
      <w:pPr>
        <w:ind w:left="720" w:hanging="360"/>
      </w:pPr>
      <w:rPr>
        <w:rFonts w:hint="default"/>
        <w:b w:val="0"/>
        <w:bCs w:val="0"/>
        <w:i w:val="0"/>
        <w:iCs w:val="0"/>
        <w:spacing w:val="0"/>
        <w:w w:val="100"/>
        <w:sz w:val="22"/>
        <w:szCs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7" w15:restartNumberingAfterBreak="0">
    <w:nsid w:val="55F72CD3"/>
    <w:multiLevelType w:val="hybridMultilevel"/>
    <w:tmpl w:val="D2B4E03C"/>
    <w:lvl w:ilvl="0" w:tplc="1000001B">
      <w:start w:val="1"/>
      <w:numFmt w:val="lowerRoman"/>
      <w:lvlText w:val="%1."/>
      <w:lvlJc w:val="right"/>
      <w:pPr>
        <w:ind w:left="720" w:hanging="360"/>
      </w:pPr>
      <w:rPr>
        <w:rFonts w:hint="default"/>
        <w:b w:val="0"/>
        <w:bCs w:val="0"/>
        <w:i w:val="0"/>
        <w:iCs w:val="0"/>
        <w:spacing w:val="0"/>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8271000"/>
    <w:multiLevelType w:val="hybridMultilevel"/>
    <w:tmpl w:val="4BCE950E"/>
    <w:lvl w:ilvl="0" w:tplc="1000000F">
      <w:start w:val="1"/>
      <w:numFmt w:val="decimal"/>
      <w:lvlText w:val="%1."/>
      <w:lvlJc w:val="left"/>
      <w:pPr>
        <w:ind w:left="720" w:hanging="360"/>
      </w:pPr>
      <w:rPr>
        <w:rFonts w:hint="default"/>
        <w:b w:val="0"/>
        <w:bCs w:val="0"/>
        <w:i w:val="0"/>
        <w:iCs w:val="0"/>
        <w:spacing w:val="0"/>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8EA5C50"/>
    <w:multiLevelType w:val="hybridMultilevel"/>
    <w:tmpl w:val="5F50DA3C"/>
    <w:lvl w:ilvl="0" w:tplc="4EE6203E">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59EA3303"/>
    <w:multiLevelType w:val="hybridMultilevel"/>
    <w:tmpl w:val="5396F6B2"/>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5A3D2FB0"/>
    <w:multiLevelType w:val="hybridMultilevel"/>
    <w:tmpl w:val="6966C4EA"/>
    <w:lvl w:ilvl="0" w:tplc="10000013">
      <w:start w:val="1"/>
      <w:numFmt w:val="upperRoman"/>
      <w:lvlText w:val="%1."/>
      <w:lvlJc w:val="right"/>
      <w:pPr>
        <w:ind w:left="1004" w:hanging="360"/>
      </w:pPr>
    </w:lvl>
    <w:lvl w:ilvl="1" w:tplc="10000019" w:tentative="1">
      <w:start w:val="1"/>
      <w:numFmt w:val="lowerLetter"/>
      <w:lvlText w:val="%2."/>
      <w:lvlJc w:val="left"/>
      <w:pPr>
        <w:ind w:left="1724" w:hanging="360"/>
      </w:pPr>
    </w:lvl>
    <w:lvl w:ilvl="2" w:tplc="1000001B" w:tentative="1">
      <w:start w:val="1"/>
      <w:numFmt w:val="lowerRoman"/>
      <w:lvlText w:val="%3."/>
      <w:lvlJc w:val="right"/>
      <w:pPr>
        <w:ind w:left="2444" w:hanging="180"/>
      </w:pPr>
    </w:lvl>
    <w:lvl w:ilvl="3" w:tplc="1000000F" w:tentative="1">
      <w:start w:val="1"/>
      <w:numFmt w:val="decimal"/>
      <w:lvlText w:val="%4."/>
      <w:lvlJc w:val="left"/>
      <w:pPr>
        <w:ind w:left="3164" w:hanging="360"/>
      </w:pPr>
    </w:lvl>
    <w:lvl w:ilvl="4" w:tplc="10000019" w:tentative="1">
      <w:start w:val="1"/>
      <w:numFmt w:val="lowerLetter"/>
      <w:lvlText w:val="%5."/>
      <w:lvlJc w:val="left"/>
      <w:pPr>
        <w:ind w:left="3884" w:hanging="360"/>
      </w:pPr>
    </w:lvl>
    <w:lvl w:ilvl="5" w:tplc="1000001B" w:tentative="1">
      <w:start w:val="1"/>
      <w:numFmt w:val="lowerRoman"/>
      <w:lvlText w:val="%6."/>
      <w:lvlJc w:val="right"/>
      <w:pPr>
        <w:ind w:left="4604" w:hanging="180"/>
      </w:pPr>
    </w:lvl>
    <w:lvl w:ilvl="6" w:tplc="1000000F" w:tentative="1">
      <w:start w:val="1"/>
      <w:numFmt w:val="decimal"/>
      <w:lvlText w:val="%7."/>
      <w:lvlJc w:val="left"/>
      <w:pPr>
        <w:ind w:left="5324" w:hanging="360"/>
      </w:pPr>
    </w:lvl>
    <w:lvl w:ilvl="7" w:tplc="10000019" w:tentative="1">
      <w:start w:val="1"/>
      <w:numFmt w:val="lowerLetter"/>
      <w:lvlText w:val="%8."/>
      <w:lvlJc w:val="left"/>
      <w:pPr>
        <w:ind w:left="6044" w:hanging="360"/>
      </w:pPr>
    </w:lvl>
    <w:lvl w:ilvl="8" w:tplc="1000001B" w:tentative="1">
      <w:start w:val="1"/>
      <w:numFmt w:val="lowerRoman"/>
      <w:lvlText w:val="%9."/>
      <w:lvlJc w:val="right"/>
      <w:pPr>
        <w:ind w:left="6764" w:hanging="180"/>
      </w:pPr>
    </w:lvl>
  </w:abstractNum>
  <w:abstractNum w:abstractNumId="42" w15:restartNumberingAfterBreak="0">
    <w:nsid w:val="5CAB4D9D"/>
    <w:multiLevelType w:val="multilevel"/>
    <w:tmpl w:val="5CAE076E"/>
    <w:lvl w:ilvl="0">
      <w:start w:val="1"/>
      <w:numFmt w:val="upperRoman"/>
      <w:lvlText w:val="%1."/>
      <w:lvlJc w:val="righ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60E8688C"/>
    <w:multiLevelType w:val="hybridMultilevel"/>
    <w:tmpl w:val="B2862F4A"/>
    <w:lvl w:ilvl="0" w:tplc="4582E254">
      <w:start w:val="1"/>
      <w:numFmt w:val="upperRoman"/>
      <w:lvlText w:val="%1."/>
      <w:lvlJc w:val="left"/>
      <w:pPr>
        <w:ind w:left="1915" w:hanging="288"/>
        <w:jc w:val="right"/>
      </w:pPr>
      <w:rPr>
        <w:rFonts w:ascii="Cambria" w:eastAsia="Cambria" w:hAnsi="Cambria" w:cs="Cambria" w:hint="default"/>
        <w:b/>
        <w:bCs/>
        <w:i w:val="0"/>
        <w:iCs w:val="0"/>
        <w:spacing w:val="-1"/>
        <w:w w:val="95"/>
        <w:sz w:val="22"/>
        <w:szCs w:val="22"/>
        <w:lang w:val="en-US" w:eastAsia="en-US" w:bidi="ar-SA"/>
      </w:rPr>
    </w:lvl>
    <w:lvl w:ilvl="1" w:tplc="F4480F62">
      <w:numFmt w:val="bullet"/>
      <w:lvlText w:val="•"/>
      <w:lvlJc w:val="left"/>
      <w:pPr>
        <w:ind w:left="2242" w:hanging="288"/>
      </w:pPr>
      <w:rPr>
        <w:rFonts w:hint="default"/>
        <w:lang w:val="en-US" w:eastAsia="en-US" w:bidi="ar-SA"/>
      </w:rPr>
    </w:lvl>
    <w:lvl w:ilvl="2" w:tplc="68305924">
      <w:numFmt w:val="bullet"/>
      <w:lvlText w:val="•"/>
      <w:lvlJc w:val="left"/>
      <w:pPr>
        <w:ind w:left="2565" w:hanging="288"/>
      </w:pPr>
      <w:rPr>
        <w:rFonts w:hint="default"/>
        <w:lang w:val="en-US" w:eastAsia="en-US" w:bidi="ar-SA"/>
      </w:rPr>
    </w:lvl>
    <w:lvl w:ilvl="3" w:tplc="2A0A454E">
      <w:numFmt w:val="bullet"/>
      <w:lvlText w:val="•"/>
      <w:lvlJc w:val="left"/>
      <w:pPr>
        <w:ind w:left="2887" w:hanging="288"/>
      </w:pPr>
      <w:rPr>
        <w:rFonts w:hint="default"/>
        <w:lang w:val="en-US" w:eastAsia="en-US" w:bidi="ar-SA"/>
      </w:rPr>
    </w:lvl>
    <w:lvl w:ilvl="4" w:tplc="3C3668FA">
      <w:numFmt w:val="bullet"/>
      <w:lvlText w:val="•"/>
      <w:lvlJc w:val="left"/>
      <w:pPr>
        <w:ind w:left="3210" w:hanging="288"/>
      </w:pPr>
      <w:rPr>
        <w:rFonts w:hint="default"/>
        <w:lang w:val="en-US" w:eastAsia="en-US" w:bidi="ar-SA"/>
      </w:rPr>
    </w:lvl>
    <w:lvl w:ilvl="5" w:tplc="DFCAD3BC">
      <w:numFmt w:val="bullet"/>
      <w:lvlText w:val="•"/>
      <w:lvlJc w:val="left"/>
      <w:pPr>
        <w:ind w:left="3532" w:hanging="288"/>
      </w:pPr>
      <w:rPr>
        <w:rFonts w:hint="default"/>
        <w:lang w:val="en-US" w:eastAsia="en-US" w:bidi="ar-SA"/>
      </w:rPr>
    </w:lvl>
    <w:lvl w:ilvl="6" w:tplc="5A584690">
      <w:numFmt w:val="bullet"/>
      <w:lvlText w:val="•"/>
      <w:lvlJc w:val="left"/>
      <w:pPr>
        <w:ind w:left="3855" w:hanging="288"/>
      </w:pPr>
      <w:rPr>
        <w:rFonts w:hint="default"/>
        <w:lang w:val="en-US" w:eastAsia="en-US" w:bidi="ar-SA"/>
      </w:rPr>
    </w:lvl>
    <w:lvl w:ilvl="7" w:tplc="6108ED0A">
      <w:numFmt w:val="bullet"/>
      <w:lvlText w:val="•"/>
      <w:lvlJc w:val="left"/>
      <w:pPr>
        <w:ind w:left="4177" w:hanging="288"/>
      </w:pPr>
      <w:rPr>
        <w:rFonts w:hint="default"/>
        <w:lang w:val="en-US" w:eastAsia="en-US" w:bidi="ar-SA"/>
      </w:rPr>
    </w:lvl>
    <w:lvl w:ilvl="8" w:tplc="33A24E42">
      <w:numFmt w:val="bullet"/>
      <w:lvlText w:val="•"/>
      <w:lvlJc w:val="left"/>
      <w:pPr>
        <w:ind w:left="4500" w:hanging="288"/>
      </w:pPr>
      <w:rPr>
        <w:rFonts w:hint="default"/>
        <w:lang w:val="en-US" w:eastAsia="en-US" w:bidi="ar-SA"/>
      </w:rPr>
    </w:lvl>
  </w:abstractNum>
  <w:abstractNum w:abstractNumId="44" w15:restartNumberingAfterBreak="0">
    <w:nsid w:val="63076230"/>
    <w:multiLevelType w:val="hybridMultilevel"/>
    <w:tmpl w:val="1EC4AD2A"/>
    <w:lvl w:ilvl="0" w:tplc="7800FAD8">
      <w:start w:val="3"/>
      <w:numFmt w:val="lowerRoman"/>
      <w:lvlText w:val="%1."/>
      <w:lvlJc w:val="right"/>
      <w:pPr>
        <w:ind w:left="720" w:hanging="360"/>
      </w:pPr>
      <w:rPr>
        <w:rFonts w:hint="default"/>
        <w:b w:val="0"/>
        <w:bCs w:val="0"/>
        <w:i w:val="0"/>
        <w:iCs w:val="0"/>
        <w:spacing w:val="0"/>
        <w:w w:val="100"/>
        <w:sz w:val="22"/>
        <w:szCs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63BE2D74"/>
    <w:multiLevelType w:val="hybridMultilevel"/>
    <w:tmpl w:val="C9B48860"/>
    <w:lvl w:ilvl="0" w:tplc="1000001B">
      <w:start w:val="1"/>
      <w:numFmt w:val="lowerRoman"/>
      <w:lvlText w:val="%1."/>
      <w:lvlJc w:val="right"/>
      <w:pPr>
        <w:ind w:left="1146" w:hanging="360"/>
      </w:pPr>
    </w:lvl>
    <w:lvl w:ilvl="1" w:tplc="10000019" w:tentative="1">
      <w:start w:val="1"/>
      <w:numFmt w:val="lowerLetter"/>
      <w:lvlText w:val="%2."/>
      <w:lvlJc w:val="left"/>
      <w:pPr>
        <w:ind w:left="1866" w:hanging="360"/>
      </w:pPr>
    </w:lvl>
    <w:lvl w:ilvl="2" w:tplc="1000001B" w:tentative="1">
      <w:start w:val="1"/>
      <w:numFmt w:val="lowerRoman"/>
      <w:lvlText w:val="%3."/>
      <w:lvlJc w:val="right"/>
      <w:pPr>
        <w:ind w:left="2586" w:hanging="180"/>
      </w:pPr>
    </w:lvl>
    <w:lvl w:ilvl="3" w:tplc="1000000F" w:tentative="1">
      <w:start w:val="1"/>
      <w:numFmt w:val="decimal"/>
      <w:lvlText w:val="%4."/>
      <w:lvlJc w:val="left"/>
      <w:pPr>
        <w:ind w:left="3306" w:hanging="360"/>
      </w:pPr>
    </w:lvl>
    <w:lvl w:ilvl="4" w:tplc="10000019" w:tentative="1">
      <w:start w:val="1"/>
      <w:numFmt w:val="lowerLetter"/>
      <w:lvlText w:val="%5."/>
      <w:lvlJc w:val="left"/>
      <w:pPr>
        <w:ind w:left="4026" w:hanging="360"/>
      </w:pPr>
    </w:lvl>
    <w:lvl w:ilvl="5" w:tplc="1000001B" w:tentative="1">
      <w:start w:val="1"/>
      <w:numFmt w:val="lowerRoman"/>
      <w:lvlText w:val="%6."/>
      <w:lvlJc w:val="right"/>
      <w:pPr>
        <w:ind w:left="4746" w:hanging="180"/>
      </w:pPr>
    </w:lvl>
    <w:lvl w:ilvl="6" w:tplc="1000000F" w:tentative="1">
      <w:start w:val="1"/>
      <w:numFmt w:val="decimal"/>
      <w:lvlText w:val="%7."/>
      <w:lvlJc w:val="left"/>
      <w:pPr>
        <w:ind w:left="5466" w:hanging="360"/>
      </w:pPr>
    </w:lvl>
    <w:lvl w:ilvl="7" w:tplc="10000019" w:tentative="1">
      <w:start w:val="1"/>
      <w:numFmt w:val="lowerLetter"/>
      <w:lvlText w:val="%8."/>
      <w:lvlJc w:val="left"/>
      <w:pPr>
        <w:ind w:left="6186" w:hanging="360"/>
      </w:pPr>
    </w:lvl>
    <w:lvl w:ilvl="8" w:tplc="1000001B" w:tentative="1">
      <w:start w:val="1"/>
      <w:numFmt w:val="lowerRoman"/>
      <w:lvlText w:val="%9."/>
      <w:lvlJc w:val="right"/>
      <w:pPr>
        <w:ind w:left="6906" w:hanging="180"/>
      </w:pPr>
    </w:lvl>
  </w:abstractNum>
  <w:abstractNum w:abstractNumId="46" w15:restartNumberingAfterBreak="0">
    <w:nsid w:val="640A2B27"/>
    <w:multiLevelType w:val="multilevel"/>
    <w:tmpl w:val="B4C69746"/>
    <w:lvl w:ilvl="0">
      <w:start w:val="3"/>
      <w:numFmt w:val="upperRoman"/>
      <w:lvlText w:val="%1."/>
      <w:lvlJc w:val="righ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7" w15:restartNumberingAfterBreak="0">
    <w:nsid w:val="666869CE"/>
    <w:multiLevelType w:val="hybridMultilevel"/>
    <w:tmpl w:val="94701242"/>
    <w:lvl w:ilvl="0" w:tplc="4EE6203E">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787002C"/>
    <w:multiLevelType w:val="hybridMultilevel"/>
    <w:tmpl w:val="A80C57A8"/>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9" w15:restartNumberingAfterBreak="0">
    <w:nsid w:val="68170205"/>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25E5184"/>
    <w:multiLevelType w:val="hybridMultilevel"/>
    <w:tmpl w:val="8F9E05B0"/>
    <w:lvl w:ilvl="0" w:tplc="89AE5B3E">
      <w:start w:val="1"/>
      <w:numFmt w:val="lowerRoman"/>
      <w:lvlText w:val="%1."/>
      <w:lvlJc w:val="right"/>
      <w:pPr>
        <w:ind w:left="720" w:hanging="360"/>
      </w:pPr>
      <w:rPr>
        <w:rFonts w:hint="default"/>
        <w:b w:val="0"/>
        <w:bCs w:val="0"/>
        <w:i w:val="0"/>
        <w:iCs w:val="0"/>
        <w:spacing w:val="0"/>
        <w:w w:val="100"/>
        <w:sz w:val="22"/>
        <w:szCs w:val="22"/>
        <w:lang w:val="en-US" w:eastAsia="en-US" w:bidi="ar-S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74802ED3"/>
    <w:multiLevelType w:val="hybridMultilevel"/>
    <w:tmpl w:val="1D28E180"/>
    <w:lvl w:ilvl="0" w:tplc="AB347D5C">
      <w:start w:val="1"/>
      <w:numFmt w:val="bullet"/>
      <w:lvlText w:val=""/>
      <w:lvlJc w:val="left"/>
      <w:pPr>
        <w:ind w:left="720" w:hanging="360"/>
      </w:pPr>
      <w:rPr>
        <w:rFonts w:ascii="Symbol" w:hAnsi="Symbol" w:hint="default"/>
        <w:sz w:val="16"/>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2" w15:restartNumberingAfterBreak="0">
    <w:nsid w:val="753B2F68"/>
    <w:multiLevelType w:val="hybridMultilevel"/>
    <w:tmpl w:val="C5E44D9C"/>
    <w:lvl w:ilvl="0" w:tplc="4582E254">
      <w:start w:val="1"/>
      <w:numFmt w:val="upperRoman"/>
      <w:lvlText w:val="%1."/>
      <w:lvlJc w:val="left"/>
      <w:pPr>
        <w:ind w:left="720" w:hanging="360"/>
      </w:pPr>
      <w:rPr>
        <w:rFonts w:ascii="Cambria" w:eastAsia="Cambria" w:hAnsi="Cambria" w:cs="Cambria" w:hint="default"/>
        <w:b/>
        <w:bCs/>
        <w:i w:val="0"/>
        <w:iCs w:val="0"/>
        <w:spacing w:val="-1"/>
        <w:w w:val="95"/>
        <w:sz w:val="22"/>
        <w:szCs w:val="22"/>
        <w:lang w:val="en-US" w:eastAsia="en-US" w:bidi="ar-SA"/>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3" w15:restartNumberingAfterBreak="0">
    <w:nsid w:val="7A143101"/>
    <w:multiLevelType w:val="hybridMultilevel"/>
    <w:tmpl w:val="4B6CF3F6"/>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4" w15:restartNumberingAfterBreak="0">
    <w:nsid w:val="7B362C7C"/>
    <w:multiLevelType w:val="hybridMultilevel"/>
    <w:tmpl w:val="21B462B4"/>
    <w:lvl w:ilvl="0" w:tplc="4EE6203E">
      <w:start w:val="1"/>
      <w:numFmt w:val="lowerRoman"/>
      <w:lvlText w:val="%1."/>
      <w:lvlJc w:val="right"/>
      <w:pPr>
        <w:ind w:left="1915" w:hanging="288"/>
        <w:jc w:val="right"/>
      </w:pPr>
      <w:rPr>
        <w:rFonts w:hint="default"/>
        <w:b/>
        <w:bCs/>
        <w:i w:val="0"/>
        <w:iCs w:val="0"/>
        <w:spacing w:val="-1"/>
        <w:w w:val="95"/>
        <w:sz w:val="22"/>
        <w:szCs w:val="22"/>
        <w:lang w:val="en-US" w:eastAsia="en-US" w:bidi="ar-SA"/>
      </w:rPr>
    </w:lvl>
    <w:lvl w:ilvl="1" w:tplc="FFFFFFFF">
      <w:numFmt w:val="bullet"/>
      <w:lvlText w:val="•"/>
      <w:lvlJc w:val="left"/>
      <w:pPr>
        <w:ind w:left="2242" w:hanging="288"/>
      </w:pPr>
      <w:rPr>
        <w:rFonts w:hint="default"/>
        <w:lang w:val="en-US" w:eastAsia="en-US" w:bidi="ar-SA"/>
      </w:rPr>
    </w:lvl>
    <w:lvl w:ilvl="2" w:tplc="FFFFFFFF">
      <w:numFmt w:val="bullet"/>
      <w:lvlText w:val="•"/>
      <w:lvlJc w:val="left"/>
      <w:pPr>
        <w:ind w:left="2565" w:hanging="288"/>
      </w:pPr>
      <w:rPr>
        <w:rFonts w:hint="default"/>
        <w:lang w:val="en-US" w:eastAsia="en-US" w:bidi="ar-SA"/>
      </w:rPr>
    </w:lvl>
    <w:lvl w:ilvl="3" w:tplc="FFFFFFFF">
      <w:numFmt w:val="bullet"/>
      <w:lvlText w:val="•"/>
      <w:lvlJc w:val="left"/>
      <w:pPr>
        <w:ind w:left="2887" w:hanging="288"/>
      </w:pPr>
      <w:rPr>
        <w:rFonts w:hint="default"/>
        <w:lang w:val="en-US" w:eastAsia="en-US" w:bidi="ar-SA"/>
      </w:rPr>
    </w:lvl>
    <w:lvl w:ilvl="4" w:tplc="FFFFFFFF">
      <w:numFmt w:val="bullet"/>
      <w:lvlText w:val="•"/>
      <w:lvlJc w:val="left"/>
      <w:pPr>
        <w:ind w:left="3210" w:hanging="288"/>
      </w:pPr>
      <w:rPr>
        <w:rFonts w:hint="default"/>
        <w:lang w:val="en-US" w:eastAsia="en-US" w:bidi="ar-SA"/>
      </w:rPr>
    </w:lvl>
    <w:lvl w:ilvl="5" w:tplc="FFFFFFFF">
      <w:numFmt w:val="bullet"/>
      <w:lvlText w:val="•"/>
      <w:lvlJc w:val="left"/>
      <w:pPr>
        <w:ind w:left="3532" w:hanging="288"/>
      </w:pPr>
      <w:rPr>
        <w:rFonts w:hint="default"/>
        <w:lang w:val="en-US" w:eastAsia="en-US" w:bidi="ar-SA"/>
      </w:rPr>
    </w:lvl>
    <w:lvl w:ilvl="6" w:tplc="FFFFFFFF">
      <w:numFmt w:val="bullet"/>
      <w:lvlText w:val="•"/>
      <w:lvlJc w:val="left"/>
      <w:pPr>
        <w:ind w:left="3855" w:hanging="288"/>
      </w:pPr>
      <w:rPr>
        <w:rFonts w:hint="default"/>
        <w:lang w:val="en-US" w:eastAsia="en-US" w:bidi="ar-SA"/>
      </w:rPr>
    </w:lvl>
    <w:lvl w:ilvl="7" w:tplc="FFFFFFFF">
      <w:numFmt w:val="bullet"/>
      <w:lvlText w:val="•"/>
      <w:lvlJc w:val="left"/>
      <w:pPr>
        <w:ind w:left="4177" w:hanging="288"/>
      </w:pPr>
      <w:rPr>
        <w:rFonts w:hint="default"/>
        <w:lang w:val="en-US" w:eastAsia="en-US" w:bidi="ar-SA"/>
      </w:rPr>
    </w:lvl>
    <w:lvl w:ilvl="8" w:tplc="FFFFFFFF">
      <w:numFmt w:val="bullet"/>
      <w:lvlText w:val="•"/>
      <w:lvlJc w:val="left"/>
      <w:pPr>
        <w:ind w:left="4500" w:hanging="288"/>
      </w:pPr>
      <w:rPr>
        <w:rFonts w:hint="default"/>
        <w:lang w:val="en-US" w:eastAsia="en-US" w:bidi="ar-SA"/>
      </w:rPr>
    </w:lvl>
  </w:abstractNum>
  <w:abstractNum w:abstractNumId="55" w15:restartNumberingAfterBreak="0">
    <w:nsid w:val="7B983C54"/>
    <w:multiLevelType w:val="hybridMultilevel"/>
    <w:tmpl w:val="200023BE"/>
    <w:lvl w:ilvl="0" w:tplc="AB347D5C">
      <w:start w:val="1"/>
      <w:numFmt w:val="bullet"/>
      <w:lvlText w:val=""/>
      <w:lvlJc w:val="left"/>
      <w:pPr>
        <w:ind w:left="720" w:hanging="360"/>
      </w:pPr>
      <w:rPr>
        <w:rFonts w:ascii="Symbol" w:hAnsi="Symbol" w:hint="default"/>
        <w:sz w:val="16"/>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6" w15:restartNumberingAfterBreak="0">
    <w:nsid w:val="7D5623B2"/>
    <w:multiLevelType w:val="hybridMultilevel"/>
    <w:tmpl w:val="513E3D2A"/>
    <w:lvl w:ilvl="0" w:tplc="1000001B">
      <w:start w:val="1"/>
      <w:numFmt w:val="lowerRoman"/>
      <w:lvlText w:val="%1."/>
      <w:lvlJc w:val="right"/>
      <w:pPr>
        <w:ind w:left="1004" w:hanging="360"/>
      </w:pPr>
    </w:lvl>
    <w:lvl w:ilvl="1" w:tplc="10000019" w:tentative="1">
      <w:start w:val="1"/>
      <w:numFmt w:val="lowerLetter"/>
      <w:lvlText w:val="%2."/>
      <w:lvlJc w:val="left"/>
      <w:pPr>
        <w:ind w:left="1724" w:hanging="360"/>
      </w:pPr>
    </w:lvl>
    <w:lvl w:ilvl="2" w:tplc="1000001B" w:tentative="1">
      <w:start w:val="1"/>
      <w:numFmt w:val="lowerRoman"/>
      <w:lvlText w:val="%3."/>
      <w:lvlJc w:val="right"/>
      <w:pPr>
        <w:ind w:left="2444" w:hanging="180"/>
      </w:pPr>
    </w:lvl>
    <w:lvl w:ilvl="3" w:tplc="1000000F" w:tentative="1">
      <w:start w:val="1"/>
      <w:numFmt w:val="decimal"/>
      <w:lvlText w:val="%4."/>
      <w:lvlJc w:val="left"/>
      <w:pPr>
        <w:ind w:left="3164" w:hanging="360"/>
      </w:pPr>
    </w:lvl>
    <w:lvl w:ilvl="4" w:tplc="10000019" w:tentative="1">
      <w:start w:val="1"/>
      <w:numFmt w:val="lowerLetter"/>
      <w:lvlText w:val="%5."/>
      <w:lvlJc w:val="left"/>
      <w:pPr>
        <w:ind w:left="3884" w:hanging="360"/>
      </w:pPr>
    </w:lvl>
    <w:lvl w:ilvl="5" w:tplc="1000001B" w:tentative="1">
      <w:start w:val="1"/>
      <w:numFmt w:val="lowerRoman"/>
      <w:lvlText w:val="%6."/>
      <w:lvlJc w:val="right"/>
      <w:pPr>
        <w:ind w:left="4604" w:hanging="180"/>
      </w:pPr>
    </w:lvl>
    <w:lvl w:ilvl="6" w:tplc="1000000F" w:tentative="1">
      <w:start w:val="1"/>
      <w:numFmt w:val="decimal"/>
      <w:lvlText w:val="%7."/>
      <w:lvlJc w:val="left"/>
      <w:pPr>
        <w:ind w:left="5324" w:hanging="360"/>
      </w:pPr>
    </w:lvl>
    <w:lvl w:ilvl="7" w:tplc="10000019" w:tentative="1">
      <w:start w:val="1"/>
      <w:numFmt w:val="lowerLetter"/>
      <w:lvlText w:val="%8."/>
      <w:lvlJc w:val="left"/>
      <w:pPr>
        <w:ind w:left="6044" w:hanging="360"/>
      </w:pPr>
    </w:lvl>
    <w:lvl w:ilvl="8" w:tplc="1000001B" w:tentative="1">
      <w:start w:val="1"/>
      <w:numFmt w:val="lowerRoman"/>
      <w:lvlText w:val="%9."/>
      <w:lvlJc w:val="right"/>
      <w:pPr>
        <w:ind w:left="6764" w:hanging="180"/>
      </w:pPr>
    </w:lvl>
  </w:abstractNum>
  <w:abstractNum w:abstractNumId="57" w15:restartNumberingAfterBreak="0">
    <w:nsid w:val="7DEC2465"/>
    <w:multiLevelType w:val="hybridMultilevel"/>
    <w:tmpl w:val="6DCED428"/>
    <w:lvl w:ilvl="0" w:tplc="99B07B68">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8" w15:restartNumberingAfterBreak="0">
    <w:nsid w:val="7EC0525E"/>
    <w:multiLevelType w:val="hybridMultilevel"/>
    <w:tmpl w:val="6DFA7796"/>
    <w:lvl w:ilvl="0" w:tplc="7800FAD8">
      <w:start w:val="3"/>
      <w:numFmt w:val="lowerRoman"/>
      <w:lvlText w:val="%1."/>
      <w:lvlJc w:val="right"/>
      <w:pPr>
        <w:ind w:left="862" w:hanging="360"/>
      </w:pPr>
      <w:rPr>
        <w:rFonts w:hint="default"/>
        <w:b w:val="0"/>
        <w:bCs w:val="0"/>
        <w:i w:val="0"/>
        <w:iCs w:val="0"/>
        <w:spacing w:val="0"/>
        <w:w w:val="100"/>
        <w:sz w:val="22"/>
        <w:szCs w:val="22"/>
      </w:rPr>
    </w:lvl>
    <w:lvl w:ilvl="1" w:tplc="10000019" w:tentative="1">
      <w:start w:val="1"/>
      <w:numFmt w:val="lowerLetter"/>
      <w:lvlText w:val="%2."/>
      <w:lvlJc w:val="left"/>
      <w:pPr>
        <w:ind w:left="1582" w:hanging="360"/>
      </w:pPr>
    </w:lvl>
    <w:lvl w:ilvl="2" w:tplc="1000001B" w:tentative="1">
      <w:start w:val="1"/>
      <w:numFmt w:val="lowerRoman"/>
      <w:lvlText w:val="%3."/>
      <w:lvlJc w:val="right"/>
      <w:pPr>
        <w:ind w:left="2302" w:hanging="180"/>
      </w:pPr>
    </w:lvl>
    <w:lvl w:ilvl="3" w:tplc="1000000F" w:tentative="1">
      <w:start w:val="1"/>
      <w:numFmt w:val="decimal"/>
      <w:lvlText w:val="%4."/>
      <w:lvlJc w:val="left"/>
      <w:pPr>
        <w:ind w:left="3022" w:hanging="360"/>
      </w:pPr>
    </w:lvl>
    <w:lvl w:ilvl="4" w:tplc="10000019" w:tentative="1">
      <w:start w:val="1"/>
      <w:numFmt w:val="lowerLetter"/>
      <w:lvlText w:val="%5."/>
      <w:lvlJc w:val="left"/>
      <w:pPr>
        <w:ind w:left="3742" w:hanging="360"/>
      </w:pPr>
    </w:lvl>
    <w:lvl w:ilvl="5" w:tplc="1000001B" w:tentative="1">
      <w:start w:val="1"/>
      <w:numFmt w:val="lowerRoman"/>
      <w:lvlText w:val="%6."/>
      <w:lvlJc w:val="right"/>
      <w:pPr>
        <w:ind w:left="4462" w:hanging="180"/>
      </w:pPr>
    </w:lvl>
    <w:lvl w:ilvl="6" w:tplc="1000000F" w:tentative="1">
      <w:start w:val="1"/>
      <w:numFmt w:val="decimal"/>
      <w:lvlText w:val="%7."/>
      <w:lvlJc w:val="left"/>
      <w:pPr>
        <w:ind w:left="5182" w:hanging="360"/>
      </w:pPr>
    </w:lvl>
    <w:lvl w:ilvl="7" w:tplc="10000019" w:tentative="1">
      <w:start w:val="1"/>
      <w:numFmt w:val="lowerLetter"/>
      <w:lvlText w:val="%8."/>
      <w:lvlJc w:val="left"/>
      <w:pPr>
        <w:ind w:left="5902" w:hanging="360"/>
      </w:pPr>
    </w:lvl>
    <w:lvl w:ilvl="8" w:tplc="1000001B" w:tentative="1">
      <w:start w:val="1"/>
      <w:numFmt w:val="lowerRoman"/>
      <w:lvlText w:val="%9."/>
      <w:lvlJc w:val="right"/>
      <w:pPr>
        <w:ind w:left="6622" w:hanging="180"/>
      </w:pPr>
    </w:lvl>
  </w:abstractNum>
  <w:abstractNum w:abstractNumId="59" w15:restartNumberingAfterBreak="0">
    <w:nsid w:val="7FB81559"/>
    <w:multiLevelType w:val="hybridMultilevel"/>
    <w:tmpl w:val="74903E1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380323813">
    <w:abstractNumId w:val="28"/>
  </w:num>
  <w:num w:numId="2" w16cid:durableId="931469360">
    <w:abstractNumId w:val="21"/>
  </w:num>
  <w:num w:numId="3" w16cid:durableId="1631545608">
    <w:abstractNumId w:val="26"/>
  </w:num>
  <w:num w:numId="4" w16cid:durableId="261106964">
    <w:abstractNumId w:val="15"/>
  </w:num>
  <w:num w:numId="5" w16cid:durableId="429274075">
    <w:abstractNumId w:val="2"/>
  </w:num>
  <w:num w:numId="6" w16cid:durableId="691564746">
    <w:abstractNumId w:val="16"/>
  </w:num>
  <w:num w:numId="7" w16cid:durableId="1180772401">
    <w:abstractNumId w:val="31"/>
  </w:num>
  <w:num w:numId="8" w16cid:durableId="626006151">
    <w:abstractNumId w:val="18"/>
  </w:num>
  <w:num w:numId="9" w16cid:durableId="807476430">
    <w:abstractNumId w:val="43"/>
  </w:num>
  <w:num w:numId="10" w16cid:durableId="950011526">
    <w:abstractNumId w:val="49"/>
  </w:num>
  <w:num w:numId="11" w16cid:durableId="1021006166">
    <w:abstractNumId w:val="23"/>
  </w:num>
  <w:num w:numId="12" w16cid:durableId="1604917862">
    <w:abstractNumId w:val="57"/>
  </w:num>
  <w:num w:numId="13" w16cid:durableId="248391616">
    <w:abstractNumId w:val="22"/>
  </w:num>
  <w:num w:numId="14" w16cid:durableId="1247882291">
    <w:abstractNumId w:val="45"/>
  </w:num>
  <w:num w:numId="15" w16cid:durableId="1518881890">
    <w:abstractNumId w:val="7"/>
  </w:num>
  <w:num w:numId="16" w16cid:durableId="685132679">
    <w:abstractNumId w:val="30"/>
  </w:num>
  <w:num w:numId="17" w16cid:durableId="796335087">
    <w:abstractNumId w:val="33"/>
  </w:num>
  <w:num w:numId="18" w16cid:durableId="237331770">
    <w:abstractNumId w:val="38"/>
  </w:num>
  <w:num w:numId="19" w16cid:durableId="596058876">
    <w:abstractNumId w:val="14"/>
  </w:num>
  <w:num w:numId="20" w16cid:durableId="1386760953">
    <w:abstractNumId w:val="37"/>
  </w:num>
  <w:num w:numId="21" w16cid:durableId="680160312">
    <w:abstractNumId w:val="42"/>
  </w:num>
  <w:num w:numId="22" w16cid:durableId="1597325123">
    <w:abstractNumId w:val="24"/>
  </w:num>
  <w:num w:numId="23" w16cid:durableId="1221093127">
    <w:abstractNumId w:val="17"/>
  </w:num>
  <w:num w:numId="24" w16cid:durableId="840241005">
    <w:abstractNumId w:val="53"/>
  </w:num>
  <w:num w:numId="25" w16cid:durableId="167139229">
    <w:abstractNumId w:val="52"/>
  </w:num>
  <w:num w:numId="26" w16cid:durableId="26414190">
    <w:abstractNumId w:val="59"/>
  </w:num>
  <w:num w:numId="27" w16cid:durableId="1386031419">
    <w:abstractNumId w:val="1"/>
  </w:num>
  <w:num w:numId="28" w16cid:durableId="1103264293">
    <w:abstractNumId w:val="11"/>
  </w:num>
  <w:num w:numId="29" w16cid:durableId="761727505">
    <w:abstractNumId w:val="40"/>
  </w:num>
  <w:num w:numId="30" w16cid:durableId="1586845259">
    <w:abstractNumId w:val="47"/>
  </w:num>
  <w:num w:numId="31" w16cid:durableId="1643923112">
    <w:abstractNumId w:val="29"/>
  </w:num>
  <w:num w:numId="32" w16cid:durableId="1707410923">
    <w:abstractNumId w:val="6"/>
  </w:num>
  <w:num w:numId="33" w16cid:durableId="1633512808">
    <w:abstractNumId w:val="50"/>
  </w:num>
  <w:num w:numId="34" w16cid:durableId="2033139769">
    <w:abstractNumId w:val="5"/>
  </w:num>
  <w:num w:numId="35" w16cid:durableId="1817869038">
    <w:abstractNumId w:val="32"/>
  </w:num>
  <w:num w:numId="36" w16cid:durableId="1967226832">
    <w:abstractNumId w:val="13"/>
  </w:num>
  <w:num w:numId="37" w16cid:durableId="1593856061">
    <w:abstractNumId w:val="56"/>
  </w:num>
  <w:num w:numId="38" w16cid:durableId="75828256">
    <w:abstractNumId w:val="48"/>
  </w:num>
  <w:num w:numId="39" w16cid:durableId="115178649">
    <w:abstractNumId w:val="34"/>
  </w:num>
  <w:num w:numId="40" w16cid:durableId="488134257">
    <w:abstractNumId w:val="3"/>
  </w:num>
  <w:num w:numId="41" w16cid:durableId="802885661">
    <w:abstractNumId w:val="35"/>
  </w:num>
  <w:num w:numId="42" w16cid:durableId="542981936">
    <w:abstractNumId w:val="41"/>
  </w:num>
  <w:num w:numId="43" w16cid:durableId="820585332">
    <w:abstractNumId w:val="27"/>
  </w:num>
  <w:num w:numId="44" w16cid:durableId="815223364">
    <w:abstractNumId w:val="8"/>
  </w:num>
  <w:num w:numId="45" w16cid:durableId="833572295">
    <w:abstractNumId w:val="4"/>
  </w:num>
  <w:num w:numId="46" w16cid:durableId="107940814">
    <w:abstractNumId w:val="58"/>
  </w:num>
  <w:num w:numId="47" w16cid:durableId="1154833602">
    <w:abstractNumId w:val="0"/>
  </w:num>
  <w:num w:numId="48" w16cid:durableId="665325404">
    <w:abstractNumId w:val="51"/>
  </w:num>
  <w:num w:numId="49" w16cid:durableId="1790395818">
    <w:abstractNumId w:val="39"/>
  </w:num>
  <w:num w:numId="50" w16cid:durableId="556822676">
    <w:abstractNumId w:val="20"/>
  </w:num>
  <w:num w:numId="51" w16cid:durableId="1138185557">
    <w:abstractNumId w:val="36"/>
  </w:num>
  <w:num w:numId="52" w16cid:durableId="1613629397">
    <w:abstractNumId w:val="19"/>
  </w:num>
  <w:num w:numId="53" w16cid:durableId="1163206800">
    <w:abstractNumId w:val="55"/>
  </w:num>
  <w:num w:numId="54" w16cid:durableId="1204362982">
    <w:abstractNumId w:val="10"/>
  </w:num>
  <w:num w:numId="55" w16cid:durableId="1813213033">
    <w:abstractNumId w:val="44"/>
  </w:num>
  <w:num w:numId="56" w16cid:durableId="444620917">
    <w:abstractNumId w:val="9"/>
  </w:num>
  <w:num w:numId="57" w16cid:durableId="1569531484">
    <w:abstractNumId w:val="25"/>
  </w:num>
  <w:num w:numId="58" w16cid:durableId="1033726766">
    <w:abstractNumId w:val="54"/>
  </w:num>
  <w:num w:numId="59" w16cid:durableId="1515656121">
    <w:abstractNumId w:val="12"/>
  </w:num>
  <w:num w:numId="60" w16cid:durableId="210352273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ED"/>
    <w:rsid w:val="000905FD"/>
    <w:rsid w:val="00151E13"/>
    <w:rsid w:val="002B0D69"/>
    <w:rsid w:val="0035317A"/>
    <w:rsid w:val="003C6221"/>
    <w:rsid w:val="00443F67"/>
    <w:rsid w:val="00466864"/>
    <w:rsid w:val="005014E6"/>
    <w:rsid w:val="00596F49"/>
    <w:rsid w:val="006500E6"/>
    <w:rsid w:val="0067503A"/>
    <w:rsid w:val="007539FB"/>
    <w:rsid w:val="00892B72"/>
    <w:rsid w:val="00973DE5"/>
    <w:rsid w:val="009972C3"/>
    <w:rsid w:val="009C522C"/>
    <w:rsid w:val="00AE5F8F"/>
    <w:rsid w:val="00B41001"/>
    <w:rsid w:val="00B527C6"/>
    <w:rsid w:val="00B80B84"/>
    <w:rsid w:val="00B917A1"/>
    <w:rsid w:val="00C50CC4"/>
    <w:rsid w:val="00C522ED"/>
    <w:rsid w:val="00CB113D"/>
    <w:rsid w:val="00D350E6"/>
    <w:rsid w:val="00D45496"/>
    <w:rsid w:val="00E52671"/>
    <w:rsid w:val="00E57598"/>
    <w:rsid w:val="00EF64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1EC77"/>
  <w15:docId w15:val="{C0DC6F60-CC28-4A00-8C13-6EE46EE7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7C"/>
    <w:rPr>
      <w:rFonts w:ascii="Sylfaen" w:eastAsia="Sylfaen" w:hAnsi="Sylfaen" w:cs="Sylfa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241"/>
      <w:ind w:left="9"/>
      <w:jc w:val="center"/>
    </w:pPr>
    <w:rPr>
      <w:rFonts w:ascii="Cambria" w:eastAsia="Cambria" w:hAnsi="Cambria" w:cs="Cambria"/>
      <w:b/>
      <w:bCs/>
      <w:sz w:val="28"/>
      <w:szCs w:val="28"/>
    </w:rPr>
  </w:style>
  <w:style w:type="paragraph" w:styleId="ListParagraph">
    <w:name w:val="List Paragraph"/>
    <w:basedOn w:val="Normal"/>
    <w:uiPriority w:val="1"/>
    <w:qFormat/>
    <w:pPr>
      <w:ind w:left="434" w:hanging="331"/>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AE5F8F"/>
    <w:pPr>
      <w:tabs>
        <w:tab w:val="center" w:pos="4513"/>
        <w:tab w:val="right" w:pos="9026"/>
      </w:tabs>
    </w:pPr>
  </w:style>
  <w:style w:type="character" w:customStyle="1" w:styleId="HeaderChar">
    <w:name w:val="Header Char"/>
    <w:basedOn w:val="DefaultParagraphFont"/>
    <w:link w:val="Header"/>
    <w:uiPriority w:val="99"/>
    <w:rsid w:val="00AE5F8F"/>
    <w:rPr>
      <w:rFonts w:ascii="Sylfaen" w:eastAsia="Sylfaen" w:hAnsi="Sylfaen" w:cs="Sylfaen"/>
    </w:rPr>
  </w:style>
  <w:style w:type="paragraph" w:styleId="Footer">
    <w:name w:val="footer"/>
    <w:basedOn w:val="Normal"/>
    <w:link w:val="FooterChar"/>
    <w:uiPriority w:val="99"/>
    <w:unhideWhenUsed/>
    <w:rsid w:val="00AE5F8F"/>
    <w:pPr>
      <w:tabs>
        <w:tab w:val="center" w:pos="4513"/>
        <w:tab w:val="right" w:pos="9026"/>
      </w:tabs>
    </w:pPr>
  </w:style>
  <w:style w:type="character" w:customStyle="1" w:styleId="FooterChar">
    <w:name w:val="Footer Char"/>
    <w:basedOn w:val="DefaultParagraphFont"/>
    <w:link w:val="Footer"/>
    <w:uiPriority w:val="99"/>
    <w:rsid w:val="00AE5F8F"/>
    <w:rPr>
      <w:rFonts w:ascii="Sylfaen" w:eastAsia="Sylfaen" w:hAnsi="Sylfaen" w:cs="Sylfaen"/>
    </w:rPr>
  </w:style>
  <w:style w:type="character" w:customStyle="1" w:styleId="BodyTextChar">
    <w:name w:val="Body Text Char"/>
    <w:basedOn w:val="DefaultParagraphFont"/>
    <w:link w:val="BodyText"/>
    <w:uiPriority w:val="1"/>
    <w:rsid w:val="00EF647C"/>
    <w:rPr>
      <w:rFonts w:ascii="Sylfaen" w:eastAsia="Sylfaen" w:hAnsi="Sylfaen" w:cs="Sylfaen"/>
    </w:rPr>
  </w:style>
  <w:style w:type="table" w:styleId="TableGrid">
    <w:name w:val="Table Grid"/>
    <w:basedOn w:val="TableNormal"/>
    <w:uiPriority w:val="39"/>
    <w:rsid w:val="00892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13454</Words>
  <Characters>97542</Characters>
  <Application>Microsoft Office Word</Application>
  <DocSecurity>0</DocSecurity>
  <Lines>2786</Lines>
  <Paragraphs>493</Paragraphs>
  <ScaleCrop>false</ScaleCrop>
  <HeadingPairs>
    <vt:vector size="2" baseType="variant">
      <vt:variant>
        <vt:lpstr>Title</vt:lpstr>
      </vt:variant>
      <vt:variant>
        <vt:i4>1</vt:i4>
      </vt:variant>
    </vt:vector>
  </HeadingPairs>
  <TitlesOfParts>
    <vt:vector size="1" baseType="lpstr">
      <vt:lpstr>International Journal of Scientific Research in Science and Technology</vt:lpstr>
    </vt:vector>
  </TitlesOfParts>
  <Company/>
  <LinksUpToDate>false</LinksUpToDate>
  <CharactersWithSpaces>110503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Scientific Research in Science and Technology</dc:title>
  <dc:subject>Research Paper</dc:subject>
  <dc:creator>TechnoScience Academy;http://technoscienceacademy.com</dc:creator>
  <cp:keywords>IJSRST; www.ijsrst.com</cp:keywords>
  <dc:description/>
  <cp:lastModifiedBy>Bhardwaj Kallakuri</cp:lastModifiedBy>
  <cp:revision>2</cp:revision>
  <dcterms:created xsi:type="dcterms:W3CDTF">2025-12-08T13:52:00Z</dcterms:created>
  <dcterms:modified xsi:type="dcterms:W3CDTF">2025-12-08T13:52:00Z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2024-09-21T00:00:00Z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Microsoft® Word 2016</vt:lpwstr>
  </property>
</Properties>
</file>