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Contoso Warranty Policy — Legacy</w:t>
      </w:r>
    </w:p>
    <w:p>
      <w:pPr>
        <w:pStyle w:val="Heading2"/>
      </w:pPr>
      <w:r>
        <w:t>Policy Information</w:t>
      </w:r>
    </w:p>
    <w:p>
      <w:r>
        <w:t>Document name: Warranty-final.docx</w:t>
        <w:br/>
        <w:t>Version: Legacy</w:t>
        <w:br/>
        <w:t>Status: Superseded</w:t>
      </w:r>
    </w:p>
    <w:p>
      <w:pPr>
        <w:pStyle w:val="Heading2"/>
      </w:pPr>
      <w:r>
        <w:t>Warranty Period</w:t>
      </w:r>
    </w:p>
    <w:p>
      <w:r>
        <w:t>The standard X200 warranty period is 12 months from the original purchase date.</w:t>
      </w:r>
    </w:p>
    <w:p>
      <w:pPr>
        <w:pStyle w:val="Heading2"/>
      </w:pPr>
      <w:r>
        <w:t>Support Note</w:t>
      </w:r>
    </w:p>
    <w:p>
      <w:r>
        <w:t>This document is retained only as training data to demonstrate outdated grounding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