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Default="006B08DF">
      <w:pPr>
        <w:rPr>
          <w:rFonts w:asciiTheme="minorHAnsi" w:hAnsiTheme="minorHAnsi" w:cstheme="minorHAnsi"/>
          <w:b/>
          <w:bCs/>
          <w:sz w:val="32"/>
          <w:szCs w:val="32"/>
        </w:rPr>
      </w:pPr>
      <w:r w:rsidRPr="006B08DF">
        <w:rPr>
          <w:rFonts w:asciiTheme="minorHAnsi" w:hAnsiTheme="minorHAnsi" w:cstheme="minorHAnsi"/>
          <w:b/>
          <w:bCs/>
          <w:sz w:val="32"/>
          <w:szCs w:val="32"/>
        </w:rPr>
        <w:t>Meta-analysis of pigment and aggression across the tree of life</w:t>
      </w:r>
    </w:p>
    <w:p w14:paraId="565C3C15" w14:textId="33EA2785" w:rsidR="006B08DF" w:rsidRDefault="006B08DF">
      <w:pPr>
        <w:rPr>
          <w:rFonts w:asciiTheme="minorHAnsi" w:hAnsiTheme="minorHAnsi" w:cstheme="minorHAnsi"/>
          <w:sz w:val="22"/>
          <w:vertAlign w:val="superscript"/>
        </w:rPr>
      </w:pPr>
      <w:r w:rsidRPr="006B08DF">
        <w:rPr>
          <w:rFonts w:asciiTheme="minorHAnsi" w:hAnsiTheme="minorHAnsi" w:cstheme="minorHAnsi"/>
          <w:sz w:val="22"/>
        </w:rPr>
        <w:t>Sarah N. Ruckman</w:t>
      </w:r>
      <w:r>
        <w:rPr>
          <w:rFonts w:asciiTheme="minorHAnsi" w:hAnsiTheme="minorHAnsi" w:cstheme="minorHAnsi"/>
          <w:sz w:val="22"/>
          <w:vertAlign w:val="superscript"/>
        </w:rPr>
        <w:t>1</w:t>
      </w:r>
      <w:r>
        <w:rPr>
          <w:rFonts w:asciiTheme="minorHAnsi" w:hAnsiTheme="minorHAnsi" w:cstheme="minorHAnsi"/>
          <w:sz w:val="22"/>
        </w:rPr>
        <w:t>, Eve A. Humphrey</w:t>
      </w:r>
      <w:r>
        <w:rPr>
          <w:rFonts w:asciiTheme="minorHAnsi" w:hAnsiTheme="minorHAnsi" w:cstheme="minorHAnsi"/>
          <w:sz w:val="22"/>
          <w:vertAlign w:val="superscript"/>
        </w:rPr>
        <w:t>2</w:t>
      </w:r>
      <w:r>
        <w:rPr>
          <w:rFonts w:asciiTheme="minorHAnsi" w:hAnsiTheme="minorHAnsi" w:cstheme="minorHAnsi"/>
          <w:sz w:val="22"/>
        </w:rPr>
        <w:t>, Lily Muzzey</w:t>
      </w:r>
      <w:r>
        <w:rPr>
          <w:rFonts w:asciiTheme="minorHAnsi" w:hAnsiTheme="minorHAnsi" w:cstheme="minorHAnsi"/>
          <w:sz w:val="22"/>
          <w:vertAlign w:val="superscript"/>
        </w:rPr>
        <w:t>1</w:t>
      </w:r>
      <w:r>
        <w:rPr>
          <w:rFonts w:asciiTheme="minorHAnsi" w:hAnsiTheme="minorHAnsi" w:cstheme="minorHAnsi"/>
          <w:sz w:val="22"/>
        </w:rPr>
        <w:t>, Ioanna Prantolou</w:t>
      </w:r>
      <w:r>
        <w:rPr>
          <w:rFonts w:asciiTheme="minorHAnsi" w:hAnsiTheme="minorHAnsi" w:cstheme="minorHAnsi"/>
          <w:sz w:val="22"/>
          <w:vertAlign w:val="superscript"/>
        </w:rPr>
        <w:t>1</w:t>
      </w:r>
      <w:r>
        <w:rPr>
          <w:rFonts w:asciiTheme="minorHAnsi" w:hAnsiTheme="minorHAnsi" w:cstheme="minorHAnsi"/>
          <w:sz w:val="22"/>
        </w:rPr>
        <w:t>, Madison Pleasants</w:t>
      </w:r>
      <w:r>
        <w:rPr>
          <w:rFonts w:asciiTheme="minorHAnsi" w:hAnsiTheme="minorHAnsi" w:cstheme="minorHAnsi"/>
          <w:sz w:val="22"/>
          <w:vertAlign w:val="superscript"/>
        </w:rPr>
        <w:t>1</w:t>
      </w:r>
      <w:r>
        <w:rPr>
          <w:rFonts w:asciiTheme="minorHAnsi" w:hAnsiTheme="minorHAnsi" w:cstheme="minorHAnsi"/>
          <w:sz w:val="22"/>
        </w:rPr>
        <w:t>, and Kimberly A. Hughes</w:t>
      </w:r>
      <w:r>
        <w:rPr>
          <w:rFonts w:asciiTheme="minorHAnsi" w:hAnsiTheme="minorHAnsi" w:cstheme="minorHAnsi"/>
          <w:sz w:val="22"/>
          <w:vertAlign w:val="superscript"/>
        </w:rPr>
        <w:t>1</w:t>
      </w:r>
    </w:p>
    <w:p w14:paraId="38FAE3CC" w14:textId="5801FE73" w:rsidR="006B08DF" w:rsidRDefault="006B08DF">
      <w:pPr>
        <w:rPr>
          <w:rFonts w:asciiTheme="minorHAnsi" w:hAnsiTheme="minorHAnsi" w:cstheme="minorHAnsi"/>
          <w:sz w:val="22"/>
        </w:rPr>
      </w:pPr>
    </w:p>
    <w:p w14:paraId="5F8B6C06" w14:textId="7C70F0D5" w:rsidR="006B08DF" w:rsidRDefault="006B08DF">
      <w:pPr>
        <w:rPr>
          <w:rFonts w:asciiTheme="minorHAnsi" w:hAnsiTheme="minorHAnsi" w:cstheme="minorHAnsi"/>
          <w:sz w:val="22"/>
        </w:rPr>
      </w:pPr>
      <w:r>
        <w:rPr>
          <w:rFonts w:asciiTheme="minorHAnsi" w:hAnsiTheme="minorHAnsi" w:cstheme="minorHAnsi"/>
          <w:sz w:val="22"/>
          <w:vertAlign w:val="superscript"/>
        </w:rPr>
        <w:t>1</w:t>
      </w:r>
      <w:r>
        <w:rPr>
          <w:rFonts w:asciiTheme="minorHAnsi" w:hAnsiTheme="minorHAnsi" w:cstheme="minorHAnsi"/>
          <w:sz w:val="22"/>
        </w:rPr>
        <w:t>Department of Biological Science, Florida State University, Tallahassee, FL, USA</w:t>
      </w:r>
    </w:p>
    <w:p w14:paraId="190DCD9B" w14:textId="2F14990A" w:rsidR="006B08DF" w:rsidRDefault="006B08DF">
      <w:pPr>
        <w:rPr>
          <w:rFonts w:asciiTheme="minorHAnsi" w:hAnsiTheme="minorHAnsi" w:cstheme="minorHAnsi"/>
          <w:sz w:val="22"/>
        </w:rPr>
      </w:pPr>
      <w:r>
        <w:rPr>
          <w:rFonts w:asciiTheme="minorHAnsi" w:hAnsiTheme="minorHAnsi" w:cstheme="minorHAnsi"/>
          <w:sz w:val="22"/>
          <w:vertAlign w:val="superscript"/>
        </w:rPr>
        <w:t>2</w:t>
      </w:r>
      <w:r w:rsidRPr="006B08DF">
        <w:rPr>
          <w:rFonts w:asciiTheme="minorHAnsi" w:hAnsiTheme="minorHAnsi" w:cstheme="minorHAnsi"/>
          <w:sz w:val="22"/>
        </w:rPr>
        <w:t>Biology Department, Lincoln University, Lincoln University, PA, USA</w:t>
      </w:r>
    </w:p>
    <w:p w14:paraId="443FEB8D" w14:textId="7297DF17" w:rsidR="006B08DF" w:rsidRDefault="006B08DF">
      <w:pPr>
        <w:rPr>
          <w:rFonts w:asciiTheme="minorHAnsi" w:hAnsiTheme="minorHAnsi" w:cstheme="minorHAnsi"/>
          <w:sz w:val="22"/>
        </w:rPr>
      </w:pPr>
    </w:p>
    <w:p w14:paraId="475665AC" w14:textId="5C0F8A0A" w:rsidR="006B08DF" w:rsidRDefault="006B08DF">
      <w:pPr>
        <w:rPr>
          <w:rFonts w:asciiTheme="minorHAnsi" w:hAnsiTheme="minorHAnsi" w:cstheme="minorHAnsi"/>
          <w:sz w:val="22"/>
        </w:rPr>
      </w:pPr>
      <w:r>
        <w:rPr>
          <w:rFonts w:asciiTheme="minorHAnsi" w:hAnsiTheme="minorHAnsi" w:cstheme="minorHAnsi"/>
          <w:b/>
          <w:bCs/>
          <w:sz w:val="22"/>
        </w:rPr>
        <w:t xml:space="preserve">Keywords: </w:t>
      </w:r>
      <w:r>
        <w:rPr>
          <w:rFonts w:asciiTheme="minorHAnsi" w:hAnsiTheme="minorHAnsi" w:cstheme="minorHAnsi"/>
          <w:sz w:val="22"/>
        </w:rPr>
        <w:t>meta-analysis, aggression, color, eumelanin, carotenoid, plasticity</w:t>
      </w:r>
    </w:p>
    <w:p w14:paraId="5B2F7CD2" w14:textId="6CDA0293" w:rsidR="006B08DF" w:rsidRDefault="006B08DF">
      <w:pPr>
        <w:rPr>
          <w:rFonts w:asciiTheme="minorHAnsi" w:hAnsiTheme="minorHAnsi" w:cstheme="minorHAnsi"/>
          <w:sz w:val="22"/>
        </w:rPr>
      </w:pPr>
      <w:r>
        <w:rPr>
          <w:rFonts w:asciiTheme="minorHAnsi" w:hAnsiTheme="minorHAnsi" w:cstheme="minorHAnsi"/>
          <w:sz w:val="22"/>
        </w:rPr>
        <w:br w:type="page"/>
      </w:r>
    </w:p>
    <w:p w14:paraId="02A1BA57" w14:textId="52DB5952" w:rsidR="006B08DF"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Abstract</w:t>
      </w:r>
    </w:p>
    <w:p w14:paraId="43FE7A81" w14:textId="2B9F7D16" w:rsidR="00D1601C" w:rsidRPr="00D1601C" w:rsidRDefault="00D1601C" w:rsidP="00D1601C">
      <w:pPr>
        <w:spacing w:line="480" w:lineRule="auto"/>
        <w:contextualSpacing/>
        <w:rPr>
          <w:rFonts w:asciiTheme="minorHAnsi" w:hAnsiTheme="minorHAnsi" w:cstheme="minorHAnsi"/>
          <w:sz w:val="22"/>
        </w:rPr>
      </w:pPr>
    </w:p>
    <w:p w14:paraId="19C4C8EF" w14:textId="77777777" w:rsidR="00D1601C" w:rsidRPr="00D1601C" w:rsidRDefault="00D1601C" w:rsidP="00D1601C">
      <w:pPr>
        <w:spacing w:line="480" w:lineRule="auto"/>
        <w:contextualSpacing/>
        <w:rPr>
          <w:rFonts w:asciiTheme="minorHAnsi" w:hAnsiTheme="minorHAnsi" w:cstheme="minorHAnsi"/>
          <w:sz w:val="22"/>
        </w:rPr>
      </w:pPr>
    </w:p>
    <w:p w14:paraId="5617A451" w14:textId="77777777" w:rsidR="00D1601C" w:rsidRPr="00D1601C" w:rsidRDefault="00D1601C">
      <w:pPr>
        <w:rPr>
          <w:rFonts w:asciiTheme="minorHAnsi" w:hAnsiTheme="minorHAnsi" w:cstheme="minorHAnsi"/>
          <w:sz w:val="22"/>
        </w:rPr>
      </w:pPr>
      <w:r w:rsidRPr="00D1601C">
        <w:rPr>
          <w:rFonts w:asciiTheme="minorHAnsi" w:hAnsiTheme="minorHAnsi" w:cstheme="minorHAnsi"/>
          <w:sz w:val="22"/>
        </w:rPr>
        <w:br w:type="page"/>
      </w:r>
    </w:p>
    <w:p w14:paraId="09A62252" w14:textId="6FEFF22C"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Introduction</w:t>
      </w:r>
    </w:p>
    <w:p w14:paraId="632A63D7" w14:textId="2E19385A" w:rsidR="00D1601C" w:rsidRPr="00D1601C" w:rsidRDefault="00D1601C" w:rsidP="00D1601C">
      <w:pPr>
        <w:spacing w:line="480" w:lineRule="auto"/>
        <w:contextualSpacing/>
        <w:rPr>
          <w:rFonts w:asciiTheme="minorHAnsi" w:hAnsiTheme="minorHAnsi" w:cstheme="minorHAnsi"/>
          <w:sz w:val="22"/>
        </w:rPr>
      </w:pPr>
    </w:p>
    <w:p w14:paraId="18938F97" w14:textId="58437826" w:rsidR="00D1601C" w:rsidRPr="00D1601C" w:rsidRDefault="00D1601C" w:rsidP="00D1601C">
      <w:pPr>
        <w:spacing w:line="480" w:lineRule="auto"/>
        <w:contextualSpacing/>
        <w:rPr>
          <w:rFonts w:asciiTheme="minorHAnsi" w:hAnsiTheme="minorHAnsi" w:cstheme="minorHAnsi"/>
          <w:sz w:val="22"/>
        </w:rPr>
      </w:pPr>
    </w:p>
    <w:p w14:paraId="2F65357A" w14:textId="5308BFA0"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Methods</w:t>
      </w:r>
    </w:p>
    <w:p w14:paraId="11AC51F1" w14:textId="2C996C31" w:rsidR="00D1601C" w:rsidRDefault="00D1601C" w:rsidP="00D1601C">
      <w:pPr>
        <w:spacing w:line="480" w:lineRule="auto"/>
        <w:contextualSpacing/>
        <w:rPr>
          <w:rFonts w:asciiTheme="minorHAnsi" w:hAnsiTheme="minorHAnsi" w:cstheme="minorHAnsi"/>
          <w:sz w:val="22"/>
        </w:rPr>
      </w:pPr>
    </w:p>
    <w:p w14:paraId="30D9050D" w14:textId="35669A0D" w:rsidR="00410648" w:rsidRDefault="00D1601C" w:rsidP="00410648">
      <w:pPr>
        <w:spacing w:line="480" w:lineRule="auto"/>
        <w:contextualSpacing/>
        <w:rPr>
          <w:rFonts w:asciiTheme="minorHAnsi" w:hAnsiTheme="minorHAnsi" w:cstheme="minorHAnsi"/>
          <w:sz w:val="22"/>
        </w:rPr>
      </w:pPr>
      <w:r w:rsidRPr="00D1601C">
        <w:rPr>
          <w:rFonts w:asciiTheme="minorHAnsi" w:hAnsiTheme="minorHAnsi" w:cstheme="minorHAnsi"/>
          <w:i/>
          <w:iCs/>
          <w:sz w:val="22"/>
        </w:rPr>
        <w:t>Data Collection</w:t>
      </w:r>
      <w:r>
        <w:rPr>
          <w:rFonts w:asciiTheme="minorHAnsi" w:hAnsiTheme="minorHAnsi" w:cstheme="minorHAnsi"/>
          <w:i/>
          <w:iCs/>
          <w:sz w:val="22"/>
        </w:rPr>
        <w:t>:</w:t>
      </w:r>
      <w:r>
        <w:rPr>
          <w:rFonts w:asciiTheme="minorHAnsi" w:hAnsiTheme="minorHAnsi" w:cstheme="minorHAnsi"/>
          <w:sz w:val="22"/>
        </w:rPr>
        <w:t xml:space="preserve"> </w:t>
      </w:r>
      <w:r w:rsidR="00410648" w:rsidRPr="00410648">
        <w:rPr>
          <w:rFonts w:asciiTheme="minorHAnsi" w:hAnsiTheme="minorHAnsi" w:cstheme="minorHAnsi"/>
          <w:sz w:val="22"/>
        </w:rPr>
        <w:t xml:space="preserve">We defined aggression as any variable that measured antagonistic behaviors (i.e. biting, chasing, or social rank) toward a conspecific (same sex and age) or mirror image. We searched Web of Science using the search terms </w:t>
      </w:r>
      <w:r w:rsidR="00410648">
        <w:rPr>
          <w:rFonts w:asciiTheme="minorHAnsi" w:hAnsiTheme="minorHAnsi" w:cstheme="minorHAnsi"/>
          <w:sz w:val="22"/>
        </w:rPr>
        <w:t>“</w:t>
      </w:r>
      <w:r w:rsidR="00410648" w:rsidRPr="00410648">
        <w:rPr>
          <w:rFonts w:asciiTheme="minorHAnsi" w:hAnsiTheme="minorHAnsi" w:cstheme="minorHAnsi"/>
          <w:sz w:val="22"/>
        </w:rPr>
        <w:t>color</w:t>
      </w:r>
      <w:r w:rsidR="00410648">
        <w:rPr>
          <w:rFonts w:asciiTheme="minorHAnsi" w:hAnsiTheme="minorHAnsi" w:cstheme="minorHAnsi"/>
          <w:sz w:val="22"/>
        </w:rPr>
        <w:t>”</w:t>
      </w:r>
      <w:r w:rsidR="00410648" w:rsidRPr="00410648">
        <w:rPr>
          <w:rFonts w:asciiTheme="minorHAnsi" w:hAnsiTheme="minorHAnsi" w:cstheme="minorHAnsi"/>
          <w:sz w:val="22"/>
        </w:rPr>
        <w:t xml:space="preserve"> AND </w:t>
      </w:r>
      <w:r w:rsidR="00410648">
        <w:rPr>
          <w:rFonts w:asciiTheme="minorHAnsi" w:hAnsiTheme="minorHAnsi" w:cstheme="minorHAnsi"/>
          <w:sz w:val="22"/>
        </w:rPr>
        <w:t>“</w:t>
      </w:r>
      <w:r w:rsidR="00410648" w:rsidRPr="00410648">
        <w:rPr>
          <w:rFonts w:asciiTheme="minorHAnsi" w:hAnsiTheme="minorHAnsi" w:cstheme="minorHAnsi"/>
          <w:sz w:val="22"/>
        </w:rPr>
        <w:t>aggression</w:t>
      </w:r>
      <w:r w:rsidR="00410648">
        <w:rPr>
          <w:rFonts w:asciiTheme="minorHAnsi" w:hAnsiTheme="minorHAnsi" w:cstheme="minorHAnsi"/>
          <w:sz w:val="22"/>
        </w:rPr>
        <w:t>”</w:t>
      </w:r>
      <w:r w:rsidR="00410648" w:rsidRPr="00410648">
        <w:rPr>
          <w:rFonts w:asciiTheme="minorHAnsi" w:hAnsiTheme="minorHAnsi" w:cstheme="minorHAnsi"/>
          <w:sz w:val="22"/>
        </w:rPr>
        <w:t xml:space="preserve"> OR </w:t>
      </w:r>
      <w:r w:rsidR="00410648">
        <w:rPr>
          <w:rFonts w:asciiTheme="minorHAnsi" w:hAnsiTheme="minorHAnsi" w:cstheme="minorHAnsi"/>
          <w:sz w:val="22"/>
        </w:rPr>
        <w:t>“</w:t>
      </w:r>
      <w:r w:rsidR="00410648" w:rsidRPr="00410648">
        <w:rPr>
          <w:rFonts w:asciiTheme="minorHAnsi" w:hAnsiTheme="minorHAnsi" w:cstheme="minorHAnsi"/>
          <w:sz w:val="22"/>
        </w:rPr>
        <w:t>aggressive</w:t>
      </w:r>
      <w:r w:rsidR="00410648">
        <w:rPr>
          <w:rFonts w:asciiTheme="minorHAnsi" w:hAnsiTheme="minorHAnsi" w:cstheme="minorHAnsi"/>
          <w:sz w:val="22"/>
        </w:rPr>
        <w:t>” (Figure 1)</w:t>
      </w:r>
      <w:r w:rsidR="00410648" w:rsidRPr="00410648">
        <w:rPr>
          <w:rFonts w:asciiTheme="minorHAnsi" w:hAnsiTheme="minorHAnsi" w:cstheme="minorHAnsi"/>
          <w:sz w:val="22"/>
        </w:rPr>
        <w:t xml:space="preserve">. This yielded 751 papers as of </w:t>
      </w:r>
      <w:r w:rsidR="00410648">
        <w:rPr>
          <w:rFonts w:asciiTheme="minorHAnsi" w:hAnsiTheme="minorHAnsi" w:cstheme="minorHAnsi"/>
          <w:sz w:val="22"/>
        </w:rPr>
        <w:t>September 2020</w:t>
      </w:r>
      <w:r w:rsidR="00410648" w:rsidRPr="00410648">
        <w:rPr>
          <w:rFonts w:asciiTheme="minorHAnsi" w:hAnsiTheme="minorHAnsi" w:cstheme="minorHAnsi"/>
          <w:sz w:val="22"/>
        </w:rPr>
        <w:t>. We, then, filtered by removing papers with human subjects</w:t>
      </w:r>
      <w:r w:rsidR="00410648">
        <w:rPr>
          <w:rFonts w:asciiTheme="minorHAnsi" w:hAnsiTheme="minorHAnsi" w:cstheme="minorHAnsi"/>
          <w:sz w:val="22"/>
        </w:rPr>
        <w:t xml:space="preserve"> (n = 197)</w:t>
      </w:r>
      <w:r w:rsidR="00410648" w:rsidRPr="00410648">
        <w:rPr>
          <w:rFonts w:asciiTheme="minorHAnsi" w:hAnsiTheme="minorHAnsi" w:cstheme="minorHAnsi"/>
          <w:sz w:val="22"/>
        </w:rPr>
        <w:t>. These papers were then subject to increased scrutiny and we removed any papers that did not measure individual color and aggression</w:t>
      </w:r>
      <w:r w:rsidR="00410648">
        <w:rPr>
          <w:rFonts w:asciiTheme="minorHAnsi" w:hAnsiTheme="minorHAnsi" w:cstheme="minorHAnsi"/>
          <w:sz w:val="22"/>
        </w:rPr>
        <w:t xml:space="preserve"> (n = 324)</w:t>
      </w:r>
      <w:r w:rsidR="00410648" w:rsidRPr="00410648">
        <w:rPr>
          <w:rFonts w:asciiTheme="minorHAnsi" w:hAnsiTheme="minorHAnsi" w:cstheme="minorHAnsi"/>
          <w:sz w:val="22"/>
        </w:rPr>
        <w:t>. This yielded 230 papers. From each paper, we collected the species name, color, what coloration pattern was measured (i.e. total body coloration or eye color), classification of color (melanic</w:t>
      </w:r>
      <w:r w:rsidR="00410648">
        <w:rPr>
          <w:rFonts w:asciiTheme="minorHAnsi" w:hAnsiTheme="minorHAnsi" w:cstheme="minorHAnsi"/>
          <w:sz w:val="22"/>
        </w:rPr>
        <w:t xml:space="preserve"> (eumelanin/pheomelanin)</w:t>
      </w:r>
      <w:r w:rsidR="00410648" w:rsidRPr="00410648">
        <w:rPr>
          <w:rFonts w:asciiTheme="minorHAnsi" w:hAnsiTheme="minorHAnsi" w:cstheme="minorHAnsi"/>
          <w:sz w:val="22"/>
        </w:rPr>
        <w:t xml:space="preserve">, xanthophore, carotenoid, or auxiliary) the measure of aggression (means/standard deviations or test statistics with p-values and degrees of freedom), the sample sizes for each measurement, the unit of aggression (i.e. time, number of acts, or distance), age, sex, location of study (captivity or in the wild), </w:t>
      </w:r>
      <w:r w:rsidR="00410648">
        <w:rPr>
          <w:rFonts w:asciiTheme="minorHAnsi" w:hAnsiTheme="minorHAnsi" w:cstheme="minorHAnsi"/>
          <w:sz w:val="22"/>
        </w:rPr>
        <w:t xml:space="preserve">plasticity of the trait, </w:t>
      </w:r>
      <w:r w:rsidR="00410648" w:rsidRPr="00410648">
        <w:rPr>
          <w:rFonts w:asciiTheme="minorHAnsi" w:hAnsiTheme="minorHAnsi" w:cstheme="minorHAnsi"/>
          <w:sz w:val="22"/>
        </w:rPr>
        <w:t>and season</w:t>
      </w:r>
      <w:r w:rsidR="00410648">
        <w:rPr>
          <w:rFonts w:asciiTheme="minorHAnsi" w:hAnsiTheme="minorHAnsi" w:cstheme="minorHAnsi"/>
          <w:sz w:val="22"/>
        </w:rPr>
        <w:t>ality</w:t>
      </w:r>
      <w:r w:rsidR="00410648" w:rsidRPr="00410648">
        <w:rPr>
          <w:rFonts w:asciiTheme="minorHAnsi" w:hAnsiTheme="minorHAnsi" w:cstheme="minorHAnsi"/>
          <w:sz w:val="22"/>
        </w:rPr>
        <w:t xml:space="preserve"> of </w:t>
      </w:r>
      <w:r w:rsidR="00410648">
        <w:rPr>
          <w:rFonts w:asciiTheme="minorHAnsi" w:hAnsiTheme="minorHAnsi" w:cstheme="minorHAnsi"/>
          <w:sz w:val="22"/>
        </w:rPr>
        <w:t>the pigment</w:t>
      </w:r>
      <w:r w:rsidR="00410648" w:rsidRPr="00410648">
        <w:rPr>
          <w:rFonts w:asciiTheme="minorHAnsi" w:hAnsiTheme="minorHAnsi" w:cstheme="minorHAnsi"/>
          <w:sz w:val="22"/>
        </w:rPr>
        <w:t xml:space="preserve"> (Supplemental Table 1). </w:t>
      </w:r>
    </w:p>
    <w:p w14:paraId="3C30BC17" w14:textId="77777777" w:rsidR="00410648" w:rsidRPr="00410648" w:rsidRDefault="00410648" w:rsidP="00410648">
      <w:pPr>
        <w:spacing w:line="480" w:lineRule="auto"/>
        <w:contextualSpacing/>
        <w:rPr>
          <w:rFonts w:asciiTheme="minorHAnsi" w:hAnsiTheme="minorHAnsi" w:cstheme="minorHAnsi"/>
          <w:sz w:val="22"/>
        </w:rPr>
      </w:pPr>
    </w:p>
    <w:p w14:paraId="14D851FF" w14:textId="56166D25" w:rsidR="00D1601C" w:rsidRDefault="00410648" w:rsidP="00D1601C">
      <w:pPr>
        <w:spacing w:line="480" w:lineRule="auto"/>
        <w:contextualSpacing/>
      </w:pPr>
      <w:r w:rsidRPr="00410648">
        <w:rPr>
          <w:rFonts w:asciiTheme="minorHAnsi" w:hAnsiTheme="minorHAnsi" w:cstheme="minorHAnsi"/>
          <w:i/>
          <w:iCs/>
          <w:sz w:val="22"/>
        </w:rPr>
        <w:t>Effect Size Calculation:</w:t>
      </w:r>
      <w:r>
        <w:t xml:space="preserve"> </w:t>
      </w:r>
      <w:r w:rsidR="006D01C0">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4D308B">
        <w:rPr>
          <w:i/>
          <w:iCs/>
        </w:rPr>
        <w:t>t, F, X</w:t>
      </w:r>
      <w:r w:rsidR="006D01C0" w:rsidRPr="004D308B">
        <w:rPr>
          <w:i/>
          <w:iCs/>
          <w:vertAlign w:val="superscript"/>
        </w:rPr>
        <w:t>2</w:t>
      </w:r>
      <w:r w:rsidR="006D01C0">
        <w:t xml:space="preserve">, or means and standard deviations) reported in the study to estimate a correlation coefficient using methods described in </w:t>
      </w:r>
      <w:r w:rsidR="006D01C0" w:rsidRPr="003B6D13">
        <w:rPr>
          <w:rFonts w:cs="Times New Roman"/>
        </w:rPr>
        <w:t>Nakagawa et al.</w:t>
      </w:r>
      <w:r w:rsidR="006D01C0">
        <w:rPr>
          <w:rFonts w:cs="Times New Roman"/>
        </w:rPr>
        <w:t xml:space="preserve"> </w:t>
      </w:r>
      <w:r w:rsidR="006D01C0">
        <w:rPr>
          <w:rFonts w:cs="Times New Roman"/>
        </w:rPr>
        <w:fldChar w:fldCharType="begin"/>
      </w:r>
      <w:r w:rsidR="006D01C0">
        <w:rPr>
          <w:rFonts w:cs="Times New Roman"/>
        </w:rPr>
        <w:instrText xml:space="preserve"> ADDIN ZOTERO_ITEM CSL_CITATION {"citationID":"5WJPz6OM","properties":{"formattedCitation":"(Nakagawa et al., 2007)","plainCitation":"(Nakagawa et al., 2007)","noteIndex":0},"citationItems":[{"id":1367,"uris":["http://zotero.org/users/4921077/items/2W9BQH8F"],"uri":["http://zotero.org/users/4921077/items/2W9BQH8F"],"itemData":{"id":1367,"type":"article-journal","container-title":"BEHAVIORAL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Pr>
          <w:rFonts w:cs="Times New Roman"/>
        </w:rPr>
        <w:fldChar w:fldCharType="separate"/>
      </w:r>
      <w:r w:rsidR="006D01C0" w:rsidRPr="006D01C0">
        <w:rPr>
          <w:rFonts w:cs="Times New Roman"/>
        </w:rPr>
        <w:t>(2007)</w:t>
      </w:r>
      <w:r w:rsidR="006D01C0">
        <w:rPr>
          <w:rFonts w:cs="Times New Roman"/>
        </w:rPr>
        <w:fldChar w:fldCharType="end"/>
      </w:r>
      <w:r w:rsidR="006D01C0">
        <w:t xml:space="preserve"> and Lipsey and Wilson </w:t>
      </w:r>
      <w:r w:rsidR="006D01C0">
        <w:fldChar w:fldCharType="begin"/>
      </w:r>
      <w:r w:rsidR="006D01C0">
        <w:instrText xml:space="preserve"> ADDIN ZOTERO_ITEM CSL_CITATION {"citationID":"4DvciQc7","properties":{"formattedCitation":"(Lipsey and Wilson, 2001)","plainCitation":"(Lipsey and Wilson, 2001)","noteIndex":0},"citationItems":[{"id":1568,"uris":["http://zotero.org/users/4921077/items/BJ3KKU4A"],"uri":["http://zotero.org/users/4921077/items/BJ3KKU4A"],"itemData":{"id":1568,"type":"book","abstract":"Meta-analysis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fldChar w:fldCharType="separate"/>
      </w:r>
      <w:r w:rsidR="006D01C0" w:rsidRPr="006D01C0">
        <w:rPr>
          <w:rFonts w:cs="Times New Roman"/>
        </w:rPr>
        <w:t>(2001)</w:t>
      </w:r>
      <w:r w:rsidR="006D01C0">
        <w:fldChar w:fldCharType="end"/>
      </w:r>
      <w:r w:rsidR="006D01C0">
        <w:t xml:space="preserve">. </w:t>
      </w:r>
    </w:p>
    <w:p w14:paraId="35660B52" w14:textId="17F8DEFA" w:rsidR="00306060" w:rsidRDefault="00306060" w:rsidP="00D1601C">
      <w:pPr>
        <w:spacing w:line="480" w:lineRule="auto"/>
        <w:contextualSpacing/>
      </w:pPr>
      <w:r>
        <w:rPr>
          <w:i/>
          <w:iCs/>
        </w:rPr>
        <w:lastRenderedPageBreak/>
        <w:t>Phylogenetic Meta-Analytic Model:</w:t>
      </w:r>
      <w:r>
        <w:t xml:space="preserve"> We constructed a phylogenetic tree of all the species (80 in total) to account for the non-independence of our data due to evolutionary history and the relationship between species (Figure S1). We used an </w:t>
      </w:r>
      <w:proofErr w:type="spellStart"/>
      <w:r>
        <w:t>ultrametric</w:t>
      </w:r>
      <w:proofErr w:type="spellEnd"/>
      <w:r>
        <w:t xml:space="preserve"> tree that was fully resolved to the species level obtained from TimeTree.org </w:t>
      </w:r>
      <w:r>
        <w:fldChar w:fldCharType="begin"/>
      </w:r>
      <w: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fldChar w:fldCharType="separate"/>
      </w:r>
      <w:r w:rsidRPr="00306060">
        <w:rPr>
          <w:rFonts w:cs="Times New Roman"/>
        </w:rPr>
        <w:t>(Kumar et al., 2017)</w:t>
      </w:r>
      <w:r>
        <w:fldChar w:fldCharType="end"/>
      </w:r>
      <w:r>
        <w:t xml:space="preserve">. We then rooted our tree with </w:t>
      </w:r>
      <w:proofErr w:type="spellStart"/>
      <w:r w:rsidRPr="00306060">
        <w:rPr>
          <w:i/>
          <w:iCs/>
        </w:rPr>
        <w:t>Phymactis</w:t>
      </w:r>
      <w:proofErr w:type="spellEnd"/>
      <w:r w:rsidRPr="00306060">
        <w:rPr>
          <w:i/>
          <w:iCs/>
        </w:rPr>
        <w:t xml:space="preserve"> clematis</w:t>
      </w:r>
      <w:r>
        <w:t xml:space="preserve"> as our outgroup </w:t>
      </w:r>
      <w:r w:rsidR="00E51C36">
        <w:t xml:space="preserve">using the R package ape </w:t>
      </w:r>
      <w:r>
        <w:t xml:space="preserve">to obtain </w:t>
      </w:r>
      <w:r w:rsidR="00E51C36">
        <w:t xml:space="preserve">our relatedness matrix </w:t>
      </w:r>
      <w:r w:rsidR="00E51C36">
        <w:fldChar w:fldCharType="begin"/>
      </w:r>
      <w:r w:rsidR="00E51C36">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fldChar w:fldCharType="separate"/>
      </w:r>
      <w:r w:rsidR="00E51C36" w:rsidRPr="00E51C36">
        <w:rPr>
          <w:rFonts w:cs="Times New Roman"/>
        </w:rPr>
        <w:t>(Paradis et al., 2004)</w:t>
      </w:r>
      <w:r w:rsidR="00E51C36">
        <w:fldChar w:fldCharType="end"/>
      </w:r>
      <w:r>
        <w:t>.</w:t>
      </w:r>
      <w:r w:rsidR="00E51C36">
        <w:t xml:space="preserve"> </w:t>
      </w:r>
    </w:p>
    <w:p w14:paraId="33200339" w14:textId="3BE9FA19" w:rsidR="00E51C36" w:rsidRDefault="00E51C36" w:rsidP="00D1601C">
      <w:pPr>
        <w:spacing w:line="480" w:lineRule="auto"/>
        <w:contextualSpacing/>
      </w:pPr>
    </w:p>
    <w:p w14:paraId="359CE41F" w14:textId="1705624F" w:rsidR="00122C9A" w:rsidRDefault="00E51C36" w:rsidP="00D1601C">
      <w:pPr>
        <w:spacing w:line="480" w:lineRule="auto"/>
        <w:contextualSpacing/>
      </w:pPr>
      <w:r>
        <w:t xml:space="preserve">We used the R package MCMCglmm to analyze our data </w:t>
      </w:r>
      <w:r>
        <w:fldChar w:fldCharType="begin"/>
      </w:r>
      <w: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fldChar w:fldCharType="separate"/>
      </w:r>
      <w:r w:rsidRPr="00E51C36">
        <w:rPr>
          <w:rFonts w:cs="Times New Roman"/>
        </w:rPr>
        <w:t>(Hadfield, 2010)</w:t>
      </w:r>
      <w:r>
        <w:fldChar w:fldCharType="end"/>
      </w:r>
      <w:r>
        <w:t>. We used a mixed effects model with the fixed effects classification of color, vertebrates or invertebrates, sex, and plasticity. We also included the species, study, location of the study, and weight</w:t>
      </w:r>
      <w:r w:rsidR="00122C9A">
        <w:t xml:space="preserve"> (inverse of the standard error)</w:t>
      </w:r>
      <w:r>
        <w:t xml:space="preserve"> of each effect size measure as our random effects. The phylogenetic information was incorporated through a relatedness matrix through the pedigree option in our model.</w:t>
      </w:r>
      <w:r w:rsidR="00122C9A">
        <w:t xml:space="preserve"> To determine the importance each term in our model, we removed and then replaced each fixed and random effect. We found that our model described above had the lowest DIC value indicating that this model described our data well.</w:t>
      </w:r>
      <w:r w:rsidR="00D439D4">
        <w:t xml:space="preserve"> We chose an expanded prior with a Cauchy distribution that was narrowed to be similar to a Fisher Z distribution, which fit our data well </w:t>
      </w:r>
      <w:r w:rsidR="00D439D4">
        <w:fldChar w:fldCharType="begin"/>
      </w:r>
      <w:r w:rsidR="00D439D4">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fldChar w:fldCharType="separate"/>
      </w:r>
      <w:r w:rsidR="00D439D4" w:rsidRPr="00D439D4">
        <w:rPr>
          <w:rFonts w:cs="Times New Roman"/>
        </w:rPr>
        <w:t>(Adams, 2008)</w:t>
      </w:r>
      <w:r w:rsidR="00D439D4">
        <w:fldChar w:fldCharType="end"/>
      </w:r>
      <w:r w:rsidR="00D439D4">
        <w:t>.</w:t>
      </w:r>
      <w:r>
        <w:t xml:space="preserve"> We ran our model for 600,000 iterations and 400,000 steps were removed as our </w:t>
      </w:r>
      <w:proofErr w:type="spellStart"/>
      <w:r>
        <w:t>burnin</w:t>
      </w:r>
      <w:proofErr w:type="spellEnd"/>
      <w:r>
        <w:t>. We chose this number of iterations because our model converged and produced biologically relevant values. To remove any autocorrelation of our model, we chose a thin of 100.</w:t>
      </w:r>
      <w:r w:rsidR="00122C9A">
        <w:t xml:space="preserve"> All credible intervals reported are of the last 200,000 iterations of our MCMC.</w:t>
      </w:r>
    </w:p>
    <w:p w14:paraId="5EC8975A" w14:textId="77777777" w:rsidR="00122C9A" w:rsidRDefault="00122C9A" w:rsidP="00D1601C">
      <w:pPr>
        <w:spacing w:line="480" w:lineRule="auto"/>
        <w:contextualSpacing/>
      </w:pPr>
    </w:p>
    <w:p w14:paraId="7552A5FB" w14:textId="13D2E4D8" w:rsidR="00A9594E" w:rsidRDefault="00122C9A" w:rsidP="00D1601C">
      <w:pPr>
        <w:spacing w:line="480" w:lineRule="auto"/>
        <w:contextualSpacing/>
      </w:pPr>
      <w:r>
        <w:rPr>
          <w:i/>
          <w:iCs/>
        </w:rPr>
        <w:t>Heterogeneity:</w:t>
      </w:r>
      <w:r>
        <w:t xml:space="preserve"> Heterogeneity, or the </w:t>
      </w:r>
      <w:r w:rsidR="00F36361">
        <w:t>amount</w:t>
      </w:r>
      <w:r>
        <w:t xml:space="preserve"> of inconsistency across studies, is an important assessment in meta-analyses and is expected to be high in ecology and evolution meta-analyses </w:t>
      </w:r>
      <w:r>
        <w:lastRenderedPageBreak/>
        <w:fldChar w:fldCharType="begin"/>
      </w:r>
      <w: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fldChar w:fldCharType="separate"/>
      </w:r>
      <w:r w:rsidRPr="00122C9A">
        <w:rPr>
          <w:rFonts w:cs="Times New Roman"/>
        </w:rPr>
        <w:t>(</w:t>
      </w:r>
      <w:proofErr w:type="spellStart"/>
      <w:r w:rsidRPr="00122C9A">
        <w:rPr>
          <w:rFonts w:cs="Times New Roman"/>
        </w:rPr>
        <w:t>Gurevitch</w:t>
      </w:r>
      <w:proofErr w:type="spellEnd"/>
      <w:r w:rsidRPr="00122C9A">
        <w:rPr>
          <w:rFonts w:cs="Times New Roman"/>
        </w:rPr>
        <w:t xml:space="preserve"> and Hedges, 1999; Senior et al., 2016)</w:t>
      </w:r>
      <w:r>
        <w:fldChar w:fldCharType="end"/>
      </w:r>
      <w:r>
        <w:t>.</w:t>
      </w:r>
      <w:r w:rsidR="00E51C36">
        <w:t xml:space="preserve"> </w:t>
      </w:r>
      <w:r w:rsidR="00F36361">
        <w:t xml:space="preserve">We quantified heterogeneity in our effect sizes among the different studies and species by calculating the percent of variance explained by each random effect. Traditional measures of heterogeneity (i.e. </w:t>
      </w:r>
      <w:r w:rsidR="00F36361">
        <w:rPr>
          <w:i/>
          <w:iCs/>
        </w:rPr>
        <w:t>Q</w:t>
      </w:r>
      <w:r w:rsidR="00F36361">
        <w:t xml:space="preserve">) were not originally developed for use in models with multiple random effects </w:t>
      </w:r>
      <w:r w:rsidR="00F36361">
        <w:fldChar w:fldCharType="begin"/>
      </w:r>
      <w:r w:rsidR="00F36361">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(Higgins and Thompson, 2002; Nakagawa and Santos, 2012)</w:t>
      </w:r>
      <w:r w:rsidR="00F36361">
        <w:fldChar w:fldCharType="end"/>
      </w:r>
      <w:r w:rsidR="00F36361">
        <w:t xml:space="preserve">. We used a method developed by Nakagawa and Santos </w:t>
      </w:r>
      <w:r w:rsidR="00F36361">
        <w:fldChar w:fldCharType="begin"/>
      </w:r>
      <w:r w:rsidR="00F36361">
        <w:instrText xml:space="preserve"> ADDIN ZOTERO_ITEM CSL_CITATION {"citationID":"bGOCknxJ","properties":{"formattedCitation":"(Nakagawa and Santos, 2012)","plainCitation":"(Nakagawa and Santos, 2012)","noteIndex":0},"citationItems":[{"id":1325,"uris":["http://zotero.org/users/4921077/items/F3A7R4JW"],"uri":["http://zotero.org/users/4921077/items/F3A7R4JW"],"itemData":{"id":1325,"type":"article-journal","abstract":"Meta-analysis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(2012)</w:t>
      </w:r>
      <w:r w:rsidR="00F36361">
        <w:fldChar w:fldCharType="end"/>
      </w:r>
      <w:r w:rsidR="00F36361">
        <w:t xml:space="preserve"> to measure the heterogeneity within a given random effect as a proportion of total heterogeneity based on </w:t>
      </w:r>
      <w:r w:rsidR="00F36361">
        <w:rPr>
          <w:i/>
          <w:iCs/>
        </w:rPr>
        <w:t>I</w:t>
      </w:r>
      <w:r w:rsidR="00F36361">
        <w:rPr>
          <w:i/>
          <w:iCs/>
          <w:vertAlign w:val="superscript"/>
        </w:rPr>
        <w:t>2</w:t>
      </w:r>
      <w:r w:rsidR="00F36361">
        <w:rPr>
          <w:i/>
          <w:iCs/>
        </w:rPr>
        <w:t xml:space="preserve"> </w:t>
      </w:r>
      <w:r w:rsidR="00F36361">
        <w:t xml:space="preserve">formula </w:t>
      </w:r>
      <w:r w:rsidR="00F36361">
        <w:fldChar w:fldCharType="begin"/>
      </w:r>
      <w:r w:rsidR="00F36361">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fldChar w:fldCharType="separate"/>
      </w:r>
      <w:r w:rsidR="00F36361" w:rsidRPr="00F36361">
        <w:rPr>
          <w:rFonts w:cs="Times New Roman"/>
        </w:rPr>
        <w:t>(Higgins and Thompson, 2002)</w:t>
      </w:r>
      <w:r w:rsidR="00F36361">
        <w:fldChar w:fldCharType="end"/>
      </w:r>
      <w:r w:rsidR="00F36361">
        <w:t xml:space="preserve">. The total variance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oMath>
      <w:r w:rsidR="00A9594E">
        <w:rPr>
          <w:rFonts w:eastAsiaTheme="minorEastAsia"/>
        </w:rPr>
        <w:t xml:space="preserve"> </w:t>
      </w:r>
      <w:r w:rsidR="00F36361">
        <w:t xml:space="preserve">of our </w:t>
      </w:r>
      <w:r w:rsidR="00A9594E">
        <w:t xml:space="preserve">phylogenetic mixed model can be written as the sum of all the random components (Equation 1). </w:t>
      </w:r>
    </w:p>
    <w:p w14:paraId="123709B0" w14:textId="358A05A5" w:rsidR="00A9594E" w:rsidRPr="00A9594E" w:rsidRDefault="00A9594E" w:rsidP="00A9594E">
      <w:pPr>
        <w:spacing w:line="480" w:lineRule="auto"/>
        <w:contextualSpacing/>
      </w:pPr>
      <w:r>
        <w:rPr>
          <w:rFonts w:eastAsiaTheme="minorEastAsia"/>
        </w:rPr>
        <w:tab/>
      </w:r>
      <w:r>
        <w:rPr>
          <w:rFonts w:eastAsiaTheme="minorEastAsia"/>
        </w:rPr>
        <w:tab/>
      </w:r>
      <w:r>
        <w:rPr>
          <w:rFonts w:eastAsiaTheme="minorEastAsia"/>
        </w:rPr>
        <w:tab/>
      </w:r>
      <w:r>
        <w:rPr>
          <w:rFonts w:eastAsiaTheme="minorEastAsia"/>
        </w:rPr>
        <w:tab/>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eastAsiaTheme="minorEastAsia"/>
        </w:rPr>
        <w:t xml:space="preserve"> </w:t>
      </w:r>
      <w:r>
        <w:rPr>
          <w:rFonts w:eastAsiaTheme="minorEastAsia"/>
        </w:rPr>
        <w:tab/>
      </w:r>
      <w:r>
        <w:rPr>
          <w:rFonts w:eastAsiaTheme="minorEastAsia"/>
        </w:rPr>
        <w:tab/>
      </w:r>
      <w:r>
        <w:rPr>
          <w:rFonts w:eastAsiaTheme="minorEastAsia"/>
        </w:rPr>
        <w:tab/>
        <w:t>(1)</w:t>
      </w:r>
    </w:p>
    <w:p w14:paraId="1A2C75F0" w14:textId="6CE200E9" w:rsidR="00E51C36" w:rsidRDefault="00A9594E" w:rsidP="00D1601C">
      <w:pPr>
        <w:spacing w:line="480" w:lineRule="auto"/>
        <w:contextualSpacing/>
      </w:pPr>
      <w:r>
        <w:t xml:space="preserve">These include phylogenetic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oMath>
      <w:r>
        <w:t xml:space="preserve">, species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oMath>
      <w:r>
        <w:t xml:space="preserve">, study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t xml:space="preserve">, location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individual experiment sampling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and residual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t>.</w:t>
      </w:r>
      <w:r w:rsidR="00F36361">
        <w:t xml:space="preserve"> </w:t>
      </w:r>
      <w:r>
        <w:t xml:space="preserve">We then calculated the proportional amount of heterogeneity at the species level (Equation 2) and the study level (Equation 3). </w:t>
      </w:r>
    </w:p>
    <w:p w14:paraId="3549E77A" w14:textId="14170B5B" w:rsidR="00A9594E" w:rsidRDefault="00A9594E" w:rsidP="00A9594E">
      <w:pPr>
        <w:spacing w:line="480" w:lineRule="auto"/>
        <w:ind w:left="3600" w:firstLine="720"/>
        <w:contextualSpacing/>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14:paraId="37343B10" w14:textId="696251BF" w:rsidR="00A9594E" w:rsidRPr="00A9594E" w:rsidRDefault="00A9594E" w:rsidP="00A9594E">
      <w:pPr>
        <w:spacing w:line="480" w:lineRule="auto"/>
        <w:ind w:left="3600" w:firstLine="720"/>
        <w:contextualSpacing/>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14:paraId="7917123D" w14:textId="508DE704" w:rsidR="00D1601C" w:rsidRDefault="00C135B6" w:rsidP="00D1601C">
      <w:pPr>
        <w:spacing w:line="480" w:lineRule="auto"/>
        <w:contextualSpacing/>
        <w:rPr>
          <w:rFonts w:asciiTheme="minorHAnsi" w:hAnsiTheme="minorHAnsi" w:cstheme="minorHAnsi"/>
          <w:sz w:val="22"/>
        </w:rPr>
      </w:pPr>
      <w:r>
        <w:rPr>
          <w:rFonts w:asciiTheme="minorHAnsi" w:hAnsiTheme="minorHAnsi" w:cstheme="minorHAnsi"/>
          <w:sz w:val="22"/>
        </w:rPr>
        <w:t>We also calculated the phylogenetic signal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sz w:val="22"/>
        </w:rPr>
        <w:t xml:space="preserve">) based on the equation from Lynch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{"citationID":"IqnpwjzI","properties":{"formattedCitation":"(Lynch, 1991)","plainCitation":"(Lynch, 1991)","noteIndex":0},"citationItems":[{"id":1585,"uris":["http://zotero.org/users/4921077/items/BPML8WPA"],"uri":["http://zotero.org/users/4921077/items/BPML8WPA"],"itemData":{"id":1585,"type":"article-journal","abstract":"Inferences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Pr>
          <w:rFonts w:asciiTheme="minorHAnsi" w:hAnsiTheme="minorHAnsi" w:cstheme="minorHAnsi"/>
          <w:sz w:val="22"/>
        </w:rPr>
        <w:fldChar w:fldCharType="separate"/>
      </w:r>
      <w:r w:rsidRPr="00C135B6">
        <w:rPr>
          <w:rFonts w:ascii="Calibri" w:hAnsi="Calibri" w:cs="Calibri"/>
          <w:sz w:val="22"/>
        </w:rPr>
        <w:t>(1991)</w:t>
      </w:r>
      <w:r>
        <w:rPr>
          <w:rFonts w:asciiTheme="minorHAnsi" w:hAnsiTheme="minorHAnsi" w:cstheme="minorHAnsi"/>
          <w:sz w:val="22"/>
        </w:rPr>
        <w:fldChar w:fldCharType="end"/>
      </w:r>
      <w:r>
        <w:rPr>
          <w:rFonts w:asciiTheme="minorHAnsi" w:hAnsiTheme="minorHAnsi" w:cstheme="minorHAnsi"/>
          <w:sz w:val="22"/>
        </w:rPr>
        <w:t xml:space="preserve"> (Equation 4).</w:t>
      </w:r>
    </w:p>
    <w:p w14:paraId="21BCD071" w14:textId="744404E5" w:rsidR="00C135B6" w:rsidRPr="00A9594E" w:rsidRDefault="00AF0CE0" w:rsidP="00AF0CE0">
      <w:pPr>
        <w:spacing w:line="480" w:lineRule="auto"/>
        <w:ind w:left="2880" w:firstLine="720"/>
        <w:contextualSpacing/>
      </w:pPr>
      <w:r>
        <w:rPr>
          <w:rFonts w:asciiTheme="minorHAnsi" w:eastAsiaTheme="minorEastAsia" w:hAnsiTheme="minorHAnsi" w:cstheme="minorHAnsi"/>
        </w:rPr>
        <w:t xml:space="preserve">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oMath>
      <w:r w:rsidR="00C135B6">
        <w:rPr>
          <w:rFonts w:eastAsiaTheme="minorEastAsia"/>
        </w:rPr>
        <w:t xml:space="preserve"> </w:t>
      </w:r>
      <w:r w:rsidR="00C135B6">
        <w:rPr>
          <w:rFonts w:eastAsiaTheme="minorEastAsia"/>
        </w:rPr>
        <w:tab/>
      </w:r>
      <w:r>
        <w:rPr>
          <w:rFonts w:eastAsiaTheme="minorEastAsia"/>
        </w:rPr>
        <w:tab/>
      </w:r>
      <w:r w:rsidR="00C135B6">
        <w:rPr>
          <w:rFonts w:eastAsiaTheme="minorEastAsia"/>
        </w:rPr>
        <w:tab/>
      </w:r>
      <w:r w:rsidR="00C135B6">
        <w:rPr>
          <w:rFonts w:eastAsiaTheme="minorEastAsia"/>
        </w:rPr>
        <w:tab/>
      </w:r>
      <w:r w:rsidR="00C135B6">
        <w:rPr>
          <w:rFonts w:eastAsiaTheme="minorEastAsia"/>
        </w:rPr>
        <w:tab/>
        <w:t>(4)</w:t>
      </w:r>
    </w:p>
    <w:p w14:paraId="6EE4585F" w14:textId="4FA69A53" w:rsidR="00C135B6" w:rsidRDefault="00D439D4"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A value of 0 indicates that phylogenetic relatedness does not explain the effect size variation, while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i/>
          <w:iCs/>
          <w:sz w:val="22"/>
        </w:rPr>
        <w:t xml:space="preserve"> </w:t>
      </w:r>
      <w:r>
        <w:rPr>
          <w:rFonts w:asciiTheme="minorHAnsi" w:hAnsiTheme="minorHAnsi" w:cstheme="minorHAnsi"/>
          <w:sz w:val="22"/>
        </w:rPr>
        <w:t>= 1, indicates that the effect sizes are completely proportional to their phylogenetic relationship.</w:t>
      </w:r>
    </w:p>
    <w:p w14:paraId="457B3267" w14:textId="689277ED" w:rsidR="00D439D4" w:rsidRDefault="00D439D4" w:rsidP="00D1601C">
      <w:pPr>
        <w:spacing w:line="480" w:lineRule="auto"/>
        <w:contextualSpacing/>
        <w:rPr>
          <w:rFonts w:asciiTheme="minorHAnsi" w:hAnsiTheme="minorHAnsi" w:cstheme="minorHAnsi"/>
          <w:sz w:val="22"/>
        </w:rPr>
      </w:pPr>
    </w:p>
    <w:p w14:paraId="560FA7A0" w14:textId="406361E9" w:rsidR="00D439D4" w:rsidRPr="00833EFF" w:rsidRDefault="00D439D4" w:rsidP="00D1601C">
      <w:pPr>
        <w:spacing w:line="480" w:lineRule="auto"/>
        <w:contextualSpacing/>
        <w:rPr>
          <w:rFonts w:asciiTheme="minorHAnsi" w:hAnsiTheme="minorHAnsi" w:cstheme="minorHAnsi"/>
          <w:sz w:val="22"/>
          <w:szCs w:val="20"/>
        </w:rPr>
      </w:pPr>
      <w:r>
        <w:rPr>
          <w:rFonts w:asciiTheme="minorHAnsi" w:hAnsiTheme="minorHAnsi" w:cstheme="minorHAnsi"/>
          <w:i/>
          <w:iCs/>
          <w:sz w:val="22"/>
        </w:rPr>
        <w:t>Publication Bias:</w:t>
      </w:r>
      <w:r>
        <w:t xml:space="preserve"> </w:t>
      </w:r>
      <w:r w:rsidR="00833EFF" w:rsidRPr="00833EFF">
        <w:rPr>
          <w:rFonts w:asciiTheme="minorHAnsi" w:hAnsiTheme="minorHAnsi" w:cstheme="minorHAnsi"/>
          <w:sz w:val="22"/>
          <w:szCs w:val="20"/>
        </w:rPr>
        <w:t xml:space="preserve">Publication bias </w:t>
      </w:r>
      <w:r w:rsidR="00833EFF">
        <w:rPr>
          <w:rFonts w:asciiTheme="minorHAnsi" w:hAnsiTheme="minorHAnsi" w:cstheme="minorHAnsi"/>
          <w:sz w:val="22"/>
          <w:szCs w:val="20"/>
        </w:rPr>
        <w:t xml:space="preserve">is another concern of meta-analyses as it can influence results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w:t>
      </w:r>
      <w:proofErr w:type="spellStart"/>
      <w:r w:rsidR="00833EFF" w:rsidRPr="00833EFF">
        <w:rPr>
          <w:rFonts w:ascii="Calibri" w:hAnsi="Calibri" w:cs="Calibri"/>
          <w:sz w:val="22"/>
        </w:rPr>
        <w:t>Gurevitch</w:t>
      </w:r>
      <w:proofErr w:type="spellEnd"/>
      <w:r w:rsidR="00833EFF" w:rsidRPr="00833EFF">
        <w:rPr>
          <w:rFonts w:ascii="Calibri" w:hAnsi="Calibri" w:cs="Calibri"/>
          <w:sz w:val="22"/>
        </w:rPr>
        <w:t xml:space="preserve"> and Hedges, 1999; Rosenthal, 1979)</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Therefore, we assessed publication bias using an Egger’s </w:t>
      </w:r>
      <w:r w:rsidR="00833EFF">
        <w:rPr>
          <w:rFonts w:asciiTheme="minorHAnsi" w:hAnsiTheme="minorHAnsi" w:cstheme="minorHAnsi"/>
          <w:sz w:val="22"/>
          <w:szCs w:val="20"/>
        </w:rPr>
        <w:lastRenderedPageBreak/>
        <w:t xml:space="preserve">regression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(Jones and DuVal, 2019; Nakagawa and Santos, 2012)</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w:t>
      </w:r>
      <w:r w:rsidR="009F7CA9">
        <w:rPr>
          <w:rFonts w:asciiTheme="minorHAnsi" w:hAnsiTheme="minorHAnsi" w:cstheme="minorHAnsi"/>
          <w:sz w:val="22"/>
          <w:szCs w:val="20"/>
        </w:rPr>
        <w:t xml:space="preserve">We applied a modified Egger’s regression in which measures of weight or precision are compared to the residuals of the model because our data violates the independence assumption of the Egger’s regression </w:t>
      </w:r>
      <w:r w:rsidR="009F7CA9">
        <w:rPr>
          <w:rFonts w:asciiTheme="minorHAnsi" w:hAnsiTheme="minorHAnsi" w:cstheme="minorHAnsi"/>
          <w:sz w:val="22"/>
          <w:szCs w:val="20"/>
        </w:rPr>
        <w:fldChar w:fldCharType="begin"/>
      </w:r>
      <w:r w:rsidR="009F7CA9">
        <w:rPr>
          <w:rFonts w:asciiTheme="minorHAnsi" w:hAnsiTheme="minorHAnsi" w:cstheme="minorHAnsi"/>
          <w:sz w:val="22"/>
          <w:szCs w:val="20"/>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(Jones and DuVal, 2019;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We then corrected for publication bias using the “trim and fill” method using the R package meta </w:t>
      </w:r>
      <w:r w:rsidR="009F7CA9">
        <w:rPr>
          <w:rFonts w:asciiTheme="minorHAnsi" w:hAnsiTheme="minorHAnsi" w:cstheme="minorHAnsi"/>
          <w:sz w:val="22"/>
          <w:szCs w:val="20"/>
        </w:rPr>
        <w:fldChar w:fldCharType="begin"/>
      </w:r>
      <w:r w:rsidR="009F7CA9">
        <w:rPr>
          <w:rFonts w:asciiTheme="minorHAnsi" w:hAnsiTheme="minorHAnsi" w:cstheme="minorHAnsi"/>
          <w:sz w:val="22"/>
          <w:szCs w:val="20"/>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News","page":"40-45","title":"meta: an R package for meta-analysis","volume":"7","author":[{"family":"Schwarzer","given":"Guido"}],"issued":{"date-parts":[["2007"]]}}}],"schema":"https://github.com/citation-style-language/schema/raw/master/csl-citation.json"}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(Duval and Tweedie, 2000; Schwarzer, 2007)</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This method removes small studies and imputes new effect sizes of these hypothetical experiments to restore funnel plot symmetry </w:t>
      </w:r>
      <w:r w:rsidR="009F7CA9">
        <w:rPr>
          <w:rFonts w:asciiTheme="minorHAnsi" w:hAnsiTheme="minorHAnsi" w:cstheme="minorHAnsi"/>
          <w:sz w:val="22"/>
          <w:szCs w:val="20"/>
        </w:rPr>
        <w:fldChar w:fldCharType="begin"/>
      </w:r>
      <w:r w:rsidR="00D22378">
        <w:rPr>
          <w:rFonts w:asciiTheme="minorHAnsi" w:hAnsiTheme="minorHAnsi" w:cstheme="minorHAnsi"/>
          <w:sz w:val="22"/>
          <w:szCs w:val="20"/>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D22378" w:rsidRPr="00D22378">
        <w:rPr>
          <w:rFonts w:ascii="Calibri" w:hAnsi="Calibri" w:cs="Calibri"/>
          <w:sz w:val="22"/>
        </w:rPr>
        <w:t>(Duval and Tweedie, 2000;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t>
      </w:r>
    </w:p>
    <w:p w14:paraId="5DFCA5D7" w14:textId="77777777" w:rsidR="00A9594E" w:rsidRPr="00833EFF" w:rsidRDefault="00A9594E" w:rsidP="00D1601C">
      <w:pPr>
        <w:spacing w:line="480" w:lineRule="auto"/>
        <w:contextualSpacing/>
        <w:rPr>
          <w:rFonts w:asciiTheme="minorHAnsi" w:hAnsiTheme="minorHAnsi" w:cstheme="minorHAnsi"/>
          <w:sz w:val="22"/>
        </w:rPr>
      </w:pPr>
    </w:p>
    <w:p w14:paraId="1880EA2F" w14:textId="4DECC994" w:rsidR="00D1601C" w:rsidRDefault="00D1601C" w:rsidP="00D1601C">
      <w:pPr>
        <w:spacing w:line="480" w:lineRule="auto"/>
        <w:contextualSpacing/>
        <w:rPr>
          <w:rFonts w:asciiTheme="minorHAnsi" w:hAnsiTheme="minorHAnsi" w:cstheme="minorHAnsi"/>
          <w:b/>
          <w:bCs/>
          <w:sz w:val="22"/>
        </w:rPr>
      </w:pPr>
      <w:r w:rsidRPr="00D1601C">
        <w:rPr>
          <w:rFonts w:asciiTheme="minorHAnsi" w:hAnsiTheme="minorHAnsi" w:cstheme="minorHAnsi"/>
          <w:b/>
          <w:bCs/>
          <w:sz w:val="22"/>
        </w:rPr>
        <w:t>Results</w:t>
      </w:r>
    </w:p>
    <w:p w14:paraId="0FFE0989" w14:textId="77D7C9E8" w:rsidR="00D1601C" w:rsidRDefault="00D1601C" w:rsidP="00D1601C">
      <w:pPr>
        <w:spacing w:line="480" w:lineRule="auto"/>
        <w:contextualSpacing/>
        <w:rPr>
          <w:rFonts w:asciiTheme="minorHAnsi" w:hAnsiTheme="minorHAnsi" w:cstheme="minorHAnsi"/>
          <w:sz w:val="22"/>
        </w:rPr>
      </w:pPr>
    </w:p>
    <w:p w14:paraId="6817913A" w14:textId="2EB71765" w:rsidR="005759E1"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We calculated XXX effect sizes from 80 studies that met our inclusion criteria. The median posterior Fisher Z value was </w:t>
      </w:r>
    </w:p>
    <w:p w14:paraId="31F5F3BA" w14:textId="77777777" w:rsidR="005759E1" w:rsidRDefault="005759E1" w:rsidP="00D1601C">
      <w:pPr>
        <w:spacing w:line="480" w:lineRule="auto"/>
        <w:contextualSpacing/>
        <w:rPr>
          <w:rFonts w:asciiTheme="minorHAnsi" w:hAnsiTheme="minorHAnsi" w:cstheme="minorHAnsi"/>
          <w:sz w:val="22"/>
        </w:rPr>
      </w:pPr>
    </w:p>
    <w:p w14:paraId="2C69B541" w14:textId="44067F79" w:rsidR="00D22378"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Heterogeneity:</w:t>
      </w:r>
    </w:p>
    <w:p w14:paraId="44DE55B6" w14:textId="7C3F8F41" w:rsidR="005759E1" w:rsidRDefault="005759E1" w:rsidP="00D1601C">
      <w:pPr>
        <w:spacing w:line="480" w:lineRule="auto"/>
        <w:contextualSpacing/>
        <w:rPr>
          <w:rFonts w:asciiTheme="minorHAnsi" w:hAnsiTheme="minorHAnsi" w:cstheme="minorHAnsi"/>
          <w:sz w:val="22"/>
        </w:rPr>
      </w:pPr>
    </w:p>
    <w:p w14:paraId="336FE40D" w14:textId="1AA8A24B" w:rsidR="005759E1"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Phylogenetic Effects:</w:t>
      </w:r>
    </w:p>
    <w:p w14:paraId="211122E7" w14:textId="77777777" w:rsidR="005759E1" w:rsidRDefault="005759E1" w:rsidP="00D1601C">
      <w:pPr>
        <w:spacing w:line="480" w:lineRule="auto"/>
        <w:contextualSpacing/>
        <w:rPr>
          <w:rFonts w:asciiTheme="minorHAnsi" w:hAnsiTheme="minorHAnsi" w:cstheme="minorHAnsi"/>
          <w:sz w:val="22"/>
        </w:rPr>
      </w:pPr>
    </w:p>
    <w:p w14:paraId="2D67A61A" w14:textId="2B10080A" w:rsidR="005759E1"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Publication Bias: </w:t>
      </w:r>
    </w:p>
    <w:p w14:paraId="3ED645D5" w14:textId="62CDD5A2" w:rsidR="005759E1" w:rsidRDefault="005759E1" w:rsidP="00D1601C">
      <w:pPr>
        <w:spacing w:line="480" w:lineRule="auto"/>
        <w:contextualSpacing/>
        <w:rPr>
          <w:rFonts w:asciiTheme="minorHAnsi" w:hAnsiTheme="minorHAnsi" w:cstheme="minorHAnsi"/>
          <w:sz w:val="22"/>
        </w:rPr>
      </w:pPr>
    </w:p>
    <w:p w14:paraId="765796AD" w14:textId="77777777" w:rsidR="005759E1" w:rsidRDefault="005759E1" w:rsidP="00D1601C">
      <w:pPr>
        <w:spacing w:line="480" w:lineRule="auto"/>
        <w:contextualSpacing/>
        <w:rPr>
          <w:rFonts w:asciiTheme="minorHAnsi" w:hAnsiTheme="minorHAnsi" w:cstheme="minorHAnsi"/>
          <w:b/>
          <w:bCs/>
          <w:sz w:val="22"/>
        </w:rPr>
      </w:pPr>
    </w:p>
    <w:p w14:paraId="0BC0BBCE" w14:textId="4CB9289B"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Discussion</w:t>
      </w:r>
    </w:p>
    <w:p w14:paraId="13C77BBB" w14:textId="2FFE54F8" w:rsidR="00D1601C" w:rsidRDefault="00D1601C" w:rsidP="00D1601C">
      <w:pPr>
        <w:spacing w:line="480" w:lineRule="auto"/>
        <w:contextualSpacing/>
        <w:rPr>
          <w:rFonts w:asciiTheme="minorHAnsi" w:hAnsiTheme="minorHAnsi" w:cstheme="minorHAnsi"/>
          <w:sz w:val="22"/>
        </w:rPr>
      </w:pPr>
    </w:p>
    <w:p w14:paraId="4B0E8ADB" w14:textId="20A9829F" w:rsidR="00D1601C" w:rsidRDefault="00D1601C" w:rsidP="00D1601C">
      <w:pPr>
        <w:spacing w:line="480" w:lineRule="auto"/>
        <w:contextualSpacing/>
        <w:rPr>
          <w:rFonts w:asciiTheme="minorHAnsi" w:hAnsiTheme="minorHAnsi" w:cstheme="minorHAnsi"/>
          <w:sz w:val="22"/>
        </w:rPr>
      </w:pPr>
    </w:p>
    <w:p w14:paraId="2204C49D" w14:textId="681B6944" w:rsidR="00D1601C" w:rsidRDefault="00D1601C">
      <w:pPr>
        <w:rPr>
          <w:rFonts w:asciiTheme="minorHAnsi" w:hAnsiTheme="minorHAnsi" w:cstheme="minorHAnsi"/>
          <w:sz w:val="22"/>
        </w:rPr>
      </w:pPr>
      <w:r>
        <w:rPr>
          <w:rFonts w:asciiTheme="minorHAnsi" w:hAnsiTheme="minorHAnsi" w:cstheme="minorHAnsi"/>
          <w:sz w:val="22"/>
        </w:rPr>
        <w:br w:type="page"/>
      </w:r>
    </w:p>
    <w:p w14:paraId="7EA23E39" w14:textId="4AD6143B"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Figueres and Tables</w:t>
      </w:r>
    </w:p>
    <w:p w14:paraId="11D2F13B" w14:textId="51B47160" w:rsidR="00D1601C" w:rsidRDefault="0072177C" w:rsidP="00D1601C">
      <w:pPr>
        <w:spacing w:line="480" w:lineRule="auto"/>
        <w:contextualSpacing/>
        <w:rPr>
          <w:rFonts w:asciiTheme="minorHAnsi" w:hAnsiTheme="minorHAnsi" w:cstheme="minorHAnsi"/>
          <w:b/>
          <w:bCs/>
          <w:sz w:val="22"/>
        </w:rPr>
      </w:pPr>
      <w:r w:rsidRPr="0072177C">
        <w:rPr>
          <w:rFonts w:asciiTheme="minorHAnsi" w:hAnsiTheme="minorHAnsi" w:cstheme="minorHAnsi"/>
          <w:b/>
          <w:bCs/>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72842659" w:rsidR="00F53E97" w:rsidRPr="0072177C"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1: Flow diagram for the selection of studies for pigment and aggression meta-analysis. </w:t>
      </w:r>
      <w:r w:rsidR="0072177C">
        <w:rPr>
          <w:rFonts w:asciiTheme="minorHAnsi" w:hAnsiTheme="minorHAnsi" w:cstheme="minorHAnsi"/>
          <w:sz w:val="22"/>
        </w:rPr>
        <w:t xml:space="preserve">Solid arrows indicate papers that were </w:t>
      </w:r>
      <w:proofErr w:type="gramStart"/>
      <w:r w:rsidR="0072177C">
        <w:rPr>
          <w:rFonts w:asciiTheme="minorHAnsi" w:hAnsiTheme="minorHAnsi" w:cstheme="minorHAnsi"/>
          <w:sz w:val="22"/>
        </w:rPr>
        <w:t>kept</w:t>
      </w:r>
      <w:proofErr w:type="gramEnd"/>
      <w:r w:rsidR="0072177C">
        <w:rPr>
          <w:rFonts w:asciiTheme="minorHAnsi" w:hAnsiTheme="minorHAnsi" w:cstheme="minorHAnsi"/>
          <w:sz w:val="22"/>
        </w:rPr>
        <w:t xml:space="preserve"> and dashed arrows indicate papers that were removed.</w:t>
      </w:r>
    </w:p>
    <w:p w14:paraId="78EC8F4D" w14:textId="69130216" w:rsidR="00F53E97" w:rsidRDefault="00F53E97" w:rsidP="00D1601C">
      <w:pPr>
        <w:spacing w:line="480" w:lineRule="auto"/>
        <w:contextualSpacing/>
        <w:rPr>
          <w:rFonts w:asciiTheme="minorHAnsi" w:hAnsiTheme="minorHAnsi" w:cstheme="minorHAnsi"/>
          <w:sz w:val="22"/>
        </w:rPr>
      </w:pPr>
    </w:p>
    <w:p w14:paraId="1943E65A" w14:textId="7C35C38B" w:rsidR="00F53E97" w:rsidRDefault="00F53E97" w:rsidP="00D1601C">
      <w:pPr>
        <w:spacing w:line="480" w:lineRule="auto"/>
        <w:contextualSpacing/>
        <w:rPr>
          <w:rFonts w:asciiTheme="minorHAnsi" w:hAnsiTheme="minorHAnsi" w:cstheme="minorHAnsi"/>
          <w:sz w:val="22"/>
        </w:rPr>
      </w:pPr>
    </w:p>
    <w:p w14:paraId="359BB3CB" w14:textId="30E7BC29" w:rsidR="00F53E97" w:rsidRDefault="00F53E97" w:rsidP="00D1601C">
      <w:pPr>
        <w:spacing w:line="480" w:lineRule="auto"/>
        <w:contextualSpacing/>
        <w:rPr>
          <w:rFonts w:asciiTheme="minorHAnsi" w:hAnsiTheme="minorHAnsi" w:cstheme="minorHAnsi"/>
          <w:sz w:val="22"/>
        </w:rPr>
      </w:pPr>
    </w:p>
    <w:p w14:paraId="63D7B85B" w14:textId="0676BAE7" w:rsidR="00F53E97" w:rsidRDefault="002B10B8"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w:t>
      </w:r>
    </w:p>
    <w:p w14:paraId="6BF0C618" w14:textId="77777777" w:rsidR="005759E1" w:rsidRDefault="002B10B8" w:rsidP="00D1601C">
      <w:pPr>
        <w:spacing w:line="480" w:lineRule="auto"/>
        <w:contextualSpacing/>
        <w:rPr>
          <w:rFonts w:asciiTheme="minorHAnsi" w:hAnsiTheme="minorHAnsi" w:cstheme="minorHAnsi"/>
          <w:noProof/>
          <w:sz w:val="22"/>
        </w:rPr>
      </w:pPr>
      <w:r w:rsidRPr="002B10B8">
        <w:rPr>
          <w:rFonts w:asciiTheme="minorHAnsi" w:hAnsiTheme="minorHAnsi" w:cstheme="minorHAnsi"/>
          <w:noProof/>
          <w:sz w:val="22"/>
        </w:rPr>
        <w:drawing>
          <wp:inline distT="0" distB="0" distL="0" distR="0" wp14:anchorId="1DD0DBCD" wp14:editId="687CC03C">
            <wp:extent cx="3787404" cy="3858183"/>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4333" cy="3865241"/>
                    </a:xfrm>
                    <a:prstGeom prst="rect">
                      <a:avLst/>
                    </a:prstGeom>
                    <a:noFill/>
                    <a:ln>
                      <a:noFill/>
                    </a:ln>
                  </pic:spPr>
                </pic:pic>
              </a:graphicData>
            </a:graphic>
          </wp:inline>
        </w:drawing>
      </w:r>
      <w:r>
        <w:rPr>
          <w:rFonts w:asciiTheme="minorHAnsi" w:hAnsiTheme="minorHAnsi" w:cstheme="minorHAnsi"/>
          <w:noProof/>
          <w:sz w:val="22"/>
        </w:rPr>
        <w:t xml:space="preserve"> </w:t>
      </w:r>
    </w:p>
    <w:p w14:paraId="073CBA63" w14:textId="61DCBAA2" w:rsidR="00F53E97"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2: Fisher Z plot for </w:t>
      </w:r>
      <w:r w:rsidR="005D024F">
        <w:rPr>
          <w:rFonts w:asciiTheme="minorHAnsi" w:hAnsiTheme="minorHAnsi" w:cstheme="minorHAnsi"/>
          <w:b/>
          <w:bCs/>
          <w:sz w:val="22"/>
        </w:rPr>
        <w:t>each</w:t>
      </w:r>
      <w:r>
        <w:rPr>
          <w:rFonts w:asciiTheme="minorHAnsi" w:hAnsiTheme="minorHAnsi" w:cstheme="minorHAnsi"/>
          <w:b/>
          <w:bCs/>
          <w:sz w:val="22"/>
        </w:rPr>
        <w:t xml:space="preserve"> fixed </w:t>
      </w:r>
      <w:proofErr w:type="gramStart"/>
      <w:r>
        <w:rPr>
          <w:rFonts w:asciiTheme="minorHAnsi" w:hAnsiTheme="minorHAnsi" w:cstheme="minorHAnsi"/>
          <w:b/>
          <w:bCs/>
          <w:sz w:val="22"/>
        </w:rPr>
        <w:t>effects</w:t>
      </w:r>
      <w:proofErr w:type="gramEnd"/>
      <w:r>
        <w:rPr>
          <w:rFonts w:asciiTheme="minorHAnsi" w:hAnsiTheme="minorHAnsi" w:cstheme="minorHAnsi"/>
          <w:b/>
          <w:bCs/>
          <w:sz w:val="22"/>
        </w:rPr>
        <w:t>.</w:t>
      </w:r>
      <w:r w:rsidR="004E0D9E">
        <w:rPr>
          <w:rFonts w:asciiTheme="minorHAnsi" w:hAnsiTheme="minorHAnsi" w:cstheme="minorHAnsi"/>
          <w:b/>
          <w:bCs/>
          <w:sz w:val="22"/>
        </w:rPr>
        <w:t xml:space="preserve"> </w:t>
      </w:r>
      <w:r w:rsidR="002B10B8">
        <w:rPr>
          <w:rFonts w:asciiTheme="minorHAnsi" w:hAnsiTheme="minorHAnsi" w:cstheme="minorHAnsi"/>
          <w:sz w:val="22"/>
        </w:rPr>
        <w:t>A. Fisher Z plot prior to publication bias adjustment B. Fisher Z plot after publication bias adjustment.</w:t>
      </w:r>
      <w:r w:rsidR="002B10B8">
        <w:rPr>
          <w:rFonts w:asciiTheme="minorHAnsi" w:hAnsiTheme="minorHAnsi" w:cstheme="minorHAnsi"/>
          <w:sz w:val="22"/>
        </w:rPr>
        <w:t xml:space="preserve"> </w:t>
      </w:r>
      <w:r w:rsidR="004E0D9E">
        <w:rPr>
          <w:rFonts w:asciiTheme="minorHAnsi" w:hAnsiTheme="minorHAnsi" w:cstheme="minorHAnsi"/>
          <w:sz w:val="22"/>
        </w:rPr>
        <w:t xml:space="preserve">Positive values indicate more aggression being associated with more pigmentation. Points indicate mean Fisher Z values and lines indicate 95% credible intervals. Bolded and stared labels indicate a significant relationship between pigment and aggression. Only pigments without known pathways (Unknown), plastic traits, and studies where both sexes had the color polymorphism were significant. </w:t>
      </w:r>
    </w:p>
    <w:p w14:paraId="456F0B4E" w14:textId="1FAEE9E5" w:rsidR="004E0D9E" w:rsidRDefault="004E0D9E">
      <w:pPr>
        <w:rPr>
          <w:rFonts w:asciiTheme="minorHAnsi" w:hAnsiTheme="minorHAnsi" w:cstheme="minorHAnsi"/>
          <w:sz w:val="22"/>
        </w:rPr>
      </w:pPr>
      <w:r>
        <w:rPr>
          <w:rFonts w:asciiTheme="minorHAnsi" w:hAnsiTheme="minorHAnsi" w:cstheme="minorHAnsi"/>
          <w:sz w:val="22"/>
        </w:rPr>
        <w:br w:type="page"/>
      </w:r>
    </w:p>
    <w:p w14:paraId="144FC9F7" w14:textId="2B07D72C" w:rsidR="004E0D9E" w:rsidRDefault="004E0D9E" w:rsidP="00D1601C">
      <w:pPr>
        <w:spacing w:line="480" w:lineRule="auto"/>
        <w:contextualSpacing/>
        <w:rPr>
          <w:rFonts w:asciiTheme="minorHAnsi" w:hAnsiTheme="minorHAnsi" w:cstheme="minorHAnsi"/>
          <w:sz w:val="22"/>
        </w:rPr>
      </w:pPr>
    </w:p>
    <w:p w14:paraId="66D6840E" w14:textId="52968B42" w:rsidR="004E0D9E" w:rsidRDefault="004E0D9E" w:rsidP="00D1601C">
      <w:pPr>
        <w:spacing w:line="480" w:lineRule="auto"/>
        <w:contextualSpacing/>
        <w:rPr>
          <w:rFonts w:asciiTheme="minorHAnsi" w:hAnsiTheme="minorHAnsi" w:cstheme="minorHAnsi"/>
          <w:sz w:val="22"/>
        </w:rPr>
      </w:pPr>
      <w:r w:rsidRPr="004E0D9E">
        <w:rPr>
          <w:rFonts w:asciiTheme="minorHAnsi" w:hAnsiTheme="minorHAnsi" w:cstheme="minorHAnsi"/>
          <w:noProof/>
          <w:sz w:val="22"/>
        </w:rPr>
        <w:drawing>
          <wp:inline distT="0" distB="0" distL="0" distR="0" wp14:anchorId="744696D3" wp14:editId="661120D4">
            <wp:extent cx="492442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4457700"/>
                    </a:xfrm>
                    <a:prstGeom prst="rect">
                      <a:avLst/>
                    </a:prstGeom>
                    <a:noFill/>
                    <a:ln>
                      <a:noFill/>
                    </a:ln>
                  </pic:spPr>
                </pic:pic>
              </a:graphicData>
            </a:graphic>
          </wp:inline>
        </w:drawing>
      </w:r>
    </w:p>
    <w:p w14:paraId="74693A6A" w14:textId="5CBDAAD7" w:rsidR="004E0D9E" w:rsidRDefault="004E0D9E"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3: Funnel Plot. </w:t>
      </w:r>
      <w:r>
        <w:rPr>
          <w:rFonts w:asciiTheme="minorHAnsi" w:hAnsiTheme="minorHAnsi" w:cstheme="minorHAnsi"/>
          <w:sz w:val="22"/>
        </w:rPr>
        <w:t>Positive values indicate a positive relationship between aggression and amount of pigment. The y axis is the weight of the study. Colors indicate the different color classifications and the shape indicates plastic or non-plastic traits. Since many of our points are outside of the funnel (dashed line), this indicates a publication bias.</w:t>
      </w:r>
    </w:p>
    <w:p w14:paraId="30F65AE8" w14:textId="77777777" w:rsidR="002100D9" w:rsidRDefault="002100D9">
      <w:pPr>
        <w:rPr>
          <w:rFonts w:asciiTheme="minorHAnsi" w:hAnsiTheme="minorHAnsi" w:cstheme="minorHAnsi"/>
          <w:sz w:val="22"/>
        </w:rPr>
      </w:pPr>
      <w:r>
        <w:rPr>
          <w:rFonts w:asciiTheme="minorHAnsi" w:hAnsiTheme="minorHAnsi" w:cstheme="minorHAnsi"/>
          <w:sz w:val="22"/>
        </w:rPr>
        <w:br w:type="page"/>
      </w:r>
    </w:p>
    <w:p w14:paraId="75075146" w14:textId="77777777" w:rsidR="00FC3259" w:rsidRDefault="00FC3259">
      <w:pPr>
        <w:rPr>
          <w:rFonts w:asciiTheme="minorHAnsi" w:hAnsiTheme="minorHAnsi" w:cstheme="minorHAnsi"/>
          <w:sz w:val="22"/>
        </w:rPr>
      </w:pPr>
    </w:p>
    <w:tbl>
      <w:tblPr>
        <w:tblStyle w:val="TableGrid"/>
        <w:tblW w:w="0" w:type="auto"/>
        <w:tblLayout w:type="fixed"/>
        <w:tblLook w:val="04A0" w:firstRow="1" w:lastRow="0" w:firstColumn="1" w:lastColumn="0" w:noHBand="0" w:noVBand="1"/>
      </w:tblPr>
      <w:tblGrid>
        <w:gridCol w:w="1466"/>
        <w:gridCol w:w="1436"/>
        <w:gridCol w:w="1233"/>
        <w:gridCol w:w="1260"/>
        <w:gridCol w:w="1231"/>
        <w:gridCol w:w="1201"/>
        <w:gridCol w:w="1523"/>
      </w:tblGrid>
      <w:tr w:rsidR="00FC3259" w14:paraId="25251023" w14:textId="77777777" w:rsidTr="00306060">
        <w:trPr>
          <w:trHeight w:val="359"/>
        </w:trPr>
        <w:tc>
          <w:tcPr>
            <w:tcW w:w="1466" w:type="dxa"/>
            <w:vMerge w:val="restart"/>
            <w:vAlign w:val="center"/>
          </w:tcPr>
          <w:p w14:paraId="0F1DBB80" w14:textId="77777777" w:rsidR="00FC3259" w:rsidRPr="00FA096B" w:rsidRDefault="00FC3259" w:rsidP="00306060">
            <w:pPr>
              <w:jc w:val="center"/>
              <w:rPr>
                <w:b/>
                <w:bCs/>
              </w:rPr>
            </w:pPr>
            <w:r w:rsidRPr="00FA096B">
              <w:rPr>
                <w:b/>
                <w:bCs/>
              </w:rPr>
              <w:t>Model</w:t>
            </w:r>
          </w:p>
        </w:tc>
        <w:tc>
          <w:tcPr>
            <w:tcW w:w="1436" w:type="dxa"/>
            <w:vMerge w:val="restart"/>
            <w:vAlign w:val="center"/>
          </w:tcPr>
          <w:p w14:paraId="02AEE67C" w14:textId="77777777" w:rsidR="00FC3259" w:rsidRPr="00FA096B" w:rsidRDefault="00FC3259" w:rsidP="00306060">
            <w:pPr>
              <w:jc w:val="center"/>
              <w:rPr>
                <w:b/>
                <w:bCs/>
              </w:rPr>
            </w:pPr>
            <w:r w:rsidRPr="00FA096B">
              <w:rPr>
                <w:b/>
                <w:bCs/>
              </w:rPr>
              <w:t>Fixed Effects</w:t>
            </w:r>
          </w:p>
        </w:tc>
        <w:tc>
          <w:tcPr>
            <w:tcW w:w="1233" w:type="dxa"/>
            <w:vMerge w:val="restart"/>
            <w:vAlign w:val="center"/>
          </w:tcPr>
          <w:p w14:paraId="0ACCD361" w14:textId="77777777" w:rsidR="00FC3259" w:rsidRPr="00FA096B" w:rsidRDefault="00FC3259" w:rsidP="00306060">
            <w:pPr>
              <w:jc w:val="center"/>
              <w:rPr>
                <w:b/>
                <w:bCs/>
              </w:rPr>
            </w:pPr>
            <w:r w:rsidRPr="00FA096B">
              <w:rPr>
                <w:b/>
                <w:bCs/>
              </w:rPr>
              <w:t>DIC</w:t>
            </w:r>
          </w:p>
        </w:tc>
        <w:tc>
          <w:tcPr>
            <w:tcW w:w="3692" w:type="dxa"/>
            <w:gridSpan w:val="3"/>
            <w:vAlign w:val="center"/>
          </w:tcPr>
          <w:p w14:paraId="6ED5E9C8" w14:textId="77777777" w:rsidR="00FC3259" w:rsidRPr="00FA096B" w:rsidRDefault="00FC3259" w:rsidP="00306060">
            <w:pPr>
              <w:jc w:val="center"/>
              <w:rPr>
                <w:b/>
                <w:bCs/>
              </w:rPr>
            </w:pPr>
            <w:r w:rsidRPr="00FA096B">
              <w:rPr>
                <w:b/>
                <w:bCs/>
              </w:rPr>
              <w:t>Percent Heterogeneity</w:t>
            </w:r>
          </w:p>
        </w:tc>
        <w:tc>
          <w:tcPr>
            <w:tcW w:w="1523" w:type="dxa"/>
            <w:vMerge w:val="restart"/>
            <w:vAlign w:val="center"/>
          </w:tcPr>
          <w:p w14:paraId="1F76A1AC" w14:textId="35E00AC6" w:rsidR="00FC3259" w:rsidRPr="00FC3259" w:rsidRDefault="00FC3259" w:rsidP="00306060">
            <w:pPr>
              <w:jc w:val="center"/>
              <w:rPr>
                <w:b/>
                <w:bCs/>
              </w:rPr>
            </w:pPr>
            <w:r w:rsidRPr="00FA096B">
              <w:rPr>
                <w:b/>
                <w:bCs/>
              </w:rPr>
              <w:t>Phylogenetic Signal</w:t>
            </w:r>
            <w:r>
              <w:rPr>
                <w:b/>
                <w:bCs/>
              </w:rPr>
              <w:t xml:space="preserve"> (H</w:t>
            </w:r>
            <w:r>
              <w:rPr>
                <w:b/>
                <w:bCs/>
                <w:vertAlign w:val="superscript"/>
              </w:rPr>
              <w:t>2</w:t>
            </w:r>
            <w:r>
              <w:rPr>
                <w:b/>
                <w:bCs/>
              </w:rPr>
              <w:t>)</w:t>
            </w:r>
          </w:p>
        </w:tc>
      </w:tr>
      <w:tr w:rsidR="00FC3259" w14:paraId="2BEE988A" w14:textId="77777777" w:rsidTr="00306060">
        <w:trPr>
          <w:trHeight w:val="803"/>
        </w:trPr>
        <w:tc>
          <w:tcPr>
            <w:tcW w:w="1466" w:type="dxa"/>
            <w:vMerge/>
            <w:tcBorders>
              <w:bottom w:val="single" w:sz="4" w:space="0" w:color="auto"/>
            </w:tcBorders>
          </w:tcPr>
          <w:p w14:paraId="19E8E197" w14:textId="77777777" w:rsidR="00FC3259" w:rsidRDefault="00FC3259" w:rsidP="00306060"/>
        </w:tc>
        <w:tc>
          <w:tcPr>
            <w:tcW w:w="1436" w:type="dxa"/>
            <w:vMerge/>
            <w:tcBorders>
              <w:bottom w:val="single" w:sz="4" w:space="0" w:color="auto"/>
            </w:tcBorders>
          </w:tcPr>
          <w:p w14:paraId="16230D4A" w14:textId="77777777" w:rsidR="00FC3259" w:rsidRDefault="00FC3259" w:rsidP="00306060"/>
        </w:tc>
        <w:tc>
          <w:tcPr>
            <w:tcW w:w="1233" w:type="dxa"/>
            <w:vMerge/>
            <w:tcBorders>
              <w:bottom w:val="single" w:sz="4" w:space="0" w:color="auto"/>
            </w:tcBorders>
          </w:tcPr>
          <w:p w14:paraId="59C18288" w14:textId="77777777" w:rsidR="00FC3259" w:rsidRDefault="00FC3259" w:rsidP="00306060"/>
        </w:tc>
        <w:tc>
          <w:tcPr>
            <w:tcW w:w="1260" w:type="dxa"/>
            <w:tcBorders>
              <w:bottom w:val="single" w:sz="4" w:space="0" w:color="auto"/>
            </w:tcBorders>
            <w:vAlign w:val="center"/>
          </w:tcPr>
          <w:p w14:paraId="6FB99384" w14:textId="77777777" w:rsidR="00FC3259" w:rsidRDefault="00FC3259" w:rsidP="00306060">
            <w:pPr>
              <w:jc w:val="center"/>
              <w:rPr>
                <w:b/>
                <w:bCs/>
              </w:rPr>
            </w:pPr>
            <w:r w:rsidRPr="00FA096B">
              <w:rPr>
                <w:b/>
                <w:bCs/>
              </w:rPr>
              <w:t>Study</w:t>
            </w:r>
          </w:p>
          <w:p w14:paraId="3D5D0F50" w14:textId="77777777" w:rsidR="00FC3259" w:rsidRPr="00CD0612" w:rsidRDefault="00306060" w:rsidP="00306060">
            <w:pPr>
              <w:jc w:val="center"/>
              <w:rPr>
                <w:b/>
                <w:bCs/>
              </w:rPr>
            </w:pPr>
            <m:oMathPara>
              <m:oMath>
                <m:sSubSup>
                  <m:sSubSupPr>
                    <m:ctrlPr>
                      <w:rPr>
                        <w:rFonts w:ascii="Cambria Math" w:hAnsi="Cambria Math"/>
                        <w:b/>
                        <w:bCs/>
                        <w:i/>
                        <w:sz w:val="22"/>
                        <w:szCs w:val="20"/>
                      </w:rPr>
                    </m:ctrlPr>
                  </m:sSubSupPr>
                  <m:e>
                    <m:r>
                      <m:rPr>
                        <m:sty m:val="bi"/>
                      </m:rPr>
                      <w:rPr>
                        <w:rFonts w:ascii="Cambria Math" w:hAnsi="Cambria Math"/>
                        <w:sz w:val="22"/>
                        <w:szCs w:val="20"/>
                      </w:rPr>
                      <m:t>(I</m:t>
                    </m:r>
                  </m:e>
                  <m:sub>
                    <m:r>
                      <m:rPr>
                        <m:sty m:val="bi"/>
                      </m:rPr>
                      <w:rPr>
                        <w:rFonts w:ascii="Cambria Math" w:hAnsi="Cambria Math"/>
                        <w:sz w:val="22"/>
                        <w:szCs w:val="20"/>
                      </w:rPr>
                      <m:t>s</m:t>
                    </m:r>
                  </m:sub>
                  <m:sup>
                    <m:r>
                      <m:rPr>
                        <m:sty m:val="bi"/>
                      </m:rPr>
                      <w:rPr>
                        <w:rFonts w:ascii="Cambria Math" w:hAnsi="Cambria Math"/>
                        <w:sz w:val="22"/>
                        <w:szCs w:val="20"/>
                      </w:rPr>
                      <m:t>2</m:t>
                    </m:r>
                  </m:sup>
                </m:sSubSup>
                <m:r>
                  <m:rPr>
                    <m:sty m:val="bi"/>
                  </m:rPr>
                  <w:rPr>
                    <w:rFonts w:ascii="Cambria Math" w:eastAsiaTheme="minorEastAsia" w:hAnsi="Cambria Math"/>
                    <w:sz w:val="22"/>
                    <w:szCs w:val="20"/>
                  </w:rPr>
                  <m:t>*100)</m:t>
                </m:r>
              </m:oMath>
            </m:oMathPara>
          </w:p>
        </w:tc>
        <w:tc>
          <w:tcPr>
            <w:tcW w:w="1231" w:type="dxa"/>
            <w:tcBorders>
              <w:bottom w:val="single" w:sz="4" w:space="0" w:color="auto"/>
            </w:tcBorders>
            <w:vAlign w:val="center"/>
          </w:tcPr>
          <w:p w14:paraId="36213A51" w14:textId="77777777" w:rsidR="00FC3259" w:rsidRPr="00FA096B" w:rsidRDefault="00FC3259" w:rsidP="00306060">
            <w:pPr>
              <w:jc w:val="center"/>
              <w:rPr>
                <w:b/>
                <w:bCs/>
              </w:rPr>
            </w:pPr>
            <w:r w:rsidRPr="00FA096B">
              <w:rPr>
                <w:b/>
                <w:bCs/>
              </w:rPr>
              <w:t>Species</w:t>
            </w:r>
          </w:p>
          <w:p w14:paraId="33C70F7E" w14:textId="77777777" w:rsidR="00FC3259" w:rsidRPr="00FA096B" w:rsidRDefault="00306060" w:rsidP="00306060">
            <w:pPr>
              <w:jc w:val="center"/>
              <w:rPr>
                <w:b/>
                <w:bCs/>
              </w:rPr>
            </w:pPr>
            <m:oMathPara>
              <m:oMath>
                <m:sSubSup>
                  <m:sSubSupPr>
                    <m:ctrlPr>
                      <w:rPr>
                        <w:rFonts w:ascii="Cambria Math" w:hAnsi="Cambria Math"/>
                        <w:b/>
                        <w:bCs/>
                        <w:i/>
                        <w:sz w:val="22"/>
                        <w:szCs w:val="20"/>
                      </w:rPr>
                    </m:ctrlPr>
                  </m:sSubSupPr>
                  <m:e>
                    <m:r>
                      <m:rPr>
                        <m:sty m:val="bi"/>
                      </m:rPr>
                      <w:rPr>
                        <w:rFonts w:ascii="Cambria Math" w:hAnsi="Cambria Math"/>
                        <w:sz w:val="22"/>
                        <w:szCs w:val="20"/>
                      </w:rPr>
                      <m:t>(I</m:t>
                    </m:r>
                  </m:e>
                  <m:sub>
                    <m:r>
                      <m:rPr>
                        <m:sty m:val="bi"/>
                      </m:rPr>
                      <w:rPr>
                        <w:rFonts w:ascii="Cambria Math" w:hAnsi="Cambria Math"/>
                        <w:sz w:val="22"/>
                        <w:szCs w:val="20"/>
                      </w:rPr>
                      <m:t>a</m:t>
                    </m:r>
                  </m:sub>
                  <m:sup>
                    <m:r>
                      <m:rPr>
                        <m:sty m:val="bi"/>
                      </m:rPr>
                      <w:rPr>
                        <w:rFonts w:ascii="Cambria Math" w:hAnsi="Cambria Math"/>
                        <w:sz w:val="22"/>
                        <w:szCs w:val="20"/>
                      </w:rPr>
                      <m:t>2</m:t>
                    </m:r>
                  </m:sup>
                </m:sSubSup>
                <m:r>
                  <m:rPr>
                    <m:sty m:val="bi"/>
                  </m:rPr>
                  <w:rPr>
                    <w:rFonts w:ascii="Cambria Math" w:eastAsiaTheme="minorEastAsia" w:hAnsi="Cambria Math"/>
                    <w:sz w:val="22"/>
                    <w:szCs w:val="20"/>
                  </w:rPr>
                  <m:t>*100)</m:t>
                </m:r>
              </m:oMath>
            </m:oMathPara>
          </w:p>
        </w:tc>
        <w:tc>
          <w:tcPr>
            <w:tcW w:w="1201" w:type="dxa"/>
            <w:tcBorders>
              <w:bottom w:val="single" w:sz="4" w:space="0" w:color="auto"/>
            </w:tcBorders>
            <w:vAlign w:val="center"/>
          </w:tcPr>
          <w:p w14:paraId="76AA14FC" w14:textId="77777777" w:rsidR="00FC3259" w:rsidRPr="00FA096B" w:rsidRDefault="00FC3259" w:rsidP="00306060">
            <w:pPr>
              <w:jc w:val="center"/>
              <w:rPr>
                <w:b/>
                <w:bCs/>
              </w:rPr>
            </w:pPr>
            <w:r w:rsidRPr="00FA096B">
              <w:rPr>
                <w:b/>
                <w:bCs/>
              </w:rPr>
              <w:t>Total</w:t>
            </w:r>
          </w:p>
        </w:tc>
        <w:tc>
          <w:tcPr>
            <w:tcW w:w="1523" w:type="dxa"/>
            <w:vMerge/>
            <w:tcBorders>
              <w:bottom w:val="single" w:sz="4" w:space="0" w:color="auto"/>
            </w:tcBorders>
          </w:tcPr>
          <w:p w14:paraId="75F3FAEF" w14:textId="77777777" w:rsidR="00FC3259" w:rsidRDefault="00FC3259" w:rsidP="00306060"/>
        </w:tc>
      </w:tr>
      <w:tr w:rsidR="00FC3259" w14:paraId="705E4C54" w14:textId="77777777" w:rsidTr="00306060">
        <w:trPr>
          <w:trHeight w:val="2527"/>
        </w:trPr>
        <w:tc>
          <w:tcPr>
            <w:tcW w:w="1466" w:type="dxa"/>
          </w:tcPr>
          <w:p w14:paraId="7B5EA764" w14:textId="77777777" w:rsidR="00FC3259" w:rsidRDefault="00FC3259" w:rsidP="00306060">
            <w:r>
              <w:t>Mixed without the Phylogeny</w:t>
            </w:r>
          </w:p>
        </w:tc>
        <w:tc>
          <w:tcPr>
            <w:tcW w:w="1436" w:type="dxa"/>
          </w:tcPr>
          <w:p w14:paraId="7948AF8B" w14:textId="77777777" w:rsidR="00FC3259" w:rsidRDefault="00FC3259" w:rsidP="00306060">
            <w:r>
              <w:t>Pigment Class, Vertebrate or Invertebrate, Sex, Plasticity</w:t>
            </w:r>
          </w:p>
        </w:tc>
        <w:tc>
          <w:tcPr>
            <w:tcW w:w="1233" w:type="dxa"/>
          </w:tcPr>
          <w:p w14:paraId="74837063" w14:textId="77777777" w:rsidR="00FC3259" w:rsidRDefault="00FC3259" w:rsidP="00306060">
            <w:pPr>
              <w:jc w:val="center"/>
            </w:pPr>
            <w:r>
              <w:t>-168.3898</w:t>
            </w:r>
          </w:p>
        </w:tc>
        <w:tc>
          <w:tcPr>
            <w:tcW w:w="1260" w:type="dxa"/>
          </w:tcPr>
          <w:p w14:paraId="717B80C5" w14:textId="77777777" w:rsidR="00FC3259" w:rsidRDefault="00FC3259" w:rsidP="00306060">
            <w:pPr>
              <w:jc w:val="center"/>
            </w:pPr>
            <w:r>
              <w:t>0.169793</w:t>
            </w:r>
          </w:p>
        </w:tc>
        <w:tc>
          <w:tcPr>
            <w:tcW w:w="1231" w:type="dxa"/>
          </w:tcPr>
          <w:p w14:paraId="2A07FAAE" w14:textId="77777777" w:rsidR="00FC3259" w:rsidRDefault="00FC3259" w:rsidP="00306060">
            <w:pPr>
              <w:jc w:val="center"/>
            </w:pPr>
            <w:r>
              <w:t>0.183677</w:t>
            </w:r>
          </w:p>
        </w:tc>
        <w:tc>
          <w:tcPr>
            <w:tcW w:w="1201" w:type="dxa"/>
          </w:tcPr>
          <w:p w14:paraId="0F28BB75" w14:textId="77777777" w:rsidR="00FC3259" w:rsidRDefault="00FC3259" w:rsidP="00306060">
            <w:pPr>
              <w:jc w:val="center"/>
            </w:pPr>
            <w:r>
              <w:t>0.35347</w:t>
            </w:r>
          </w:p>
        </w:tc>
        <w:tc>
          <w:tcPr>
            <w:tcW w:w="1523" w:type="dxa"/>
          </w:tcPr>
          <w:p w14:paraId="28AC2D9B" w14:textId="77777777" w:rsidR="00FC3259" w:rsidRDefault="00FC3259" w:rsidP="00306060">
            <w:pPr>
              <w:jc w:val="center"/>
            </w:pPr>
            <w:r>
              <w:t>0.272759</w:t>
            </w:r>
          </w:p>
        </w:tc>
      </w:tr>
      <w:tr w:rsidR="00FC3259" w14:paraId="6B3090C7" w14:textId="77777777" w:rsidTr="00306060">
        <w:trPr>
          <w:trHeight w:val="2520"/>
        </w:trPr>
        <w:tc>
          <w:tcPr>
            <w:tcW w:w="1466" w:type="dxa"/>
          </w:tcPr>
          <w:p w14:paraId="6CA3151E" w14:textId="77777777" w:rsidR="00FC3259" w:rsidRDefault="00FC3259" w:rsidP="00306060">
            <w:r>
              <w:t>Mixed</w:t>
            </w:r>
          </w:p>
        </w:tc>
        <w:tc>
          <w:tcPr>
            <w:tcW w:w="1436" w:type="dxa"/>
          </w:tcPr>
          <w:p w14:paraId="476E2199" w14:textId="77777777" w:rsidR="00FC3259" w:rsidRDefault="00FC3259" w:rsidP="00306060">
            <w:r>
              <w:t>Pigment Class, Vertebrate or Invertebrate, Sex, Plasticity</w:t>
            </w:r>
          </w:p>
        </w:tc>
        <w:tc>
          <w:tcPr>
            <w:tcW w:w="1233" w:type="dxa"/>
          </w:tcPr>
          <w:p w14:paraId="670BD49A" w14:textId="77777777" w:rsidR="00FC3259" w:rsidRDefault="00FC3259" w:rsidP="00306060">
            <w:pPr>
              <w:jc w:val="center"/>
            </w:pPr>
            <w:r w:rsidRPr="003E787C">
              <w:t>-182.2326</w:t>
            </w:r>
          </w:p>
        </w:tc>
        <w:tc>
          <w:tcPr>
            <w:tcW w:w="1260" w:type="dxa"/>
          </w:tcPr>
          <w:p w14:paraId="4BE818F9" w14:textId="77777777" w:rsidR="00FC3259" w:rsidRDefault="00FC3259" w:rsidP="00306060">
            <w:pPr>
              <w:jc w:val="center"/>
            </w:pPr>
            <w:r w:rsidRPr="003E787C">
              <w:t>0.26936</w:t>
            </w:r>
            <w:r>
              <w:t>1</w:t>
            </w:r>
          </w:p>
        </w:tc>
        <w:tc>
          <w:tcPr>
            <w:tcW w:w="1231" w:type="dxa"/>
          </w:tcPr>
          <w:p w14:paraId="2212DA0E" w14:textId="77777777" w:rsidR="00FC3259" w:rsidRDefault="00FC3259" w:rsidP="00306060">
            <w:pPr>
              <w:jc w:val="center"/>
            </w:pPr>
            <w:r w:rsidRPr="003E787C">
              <w:t>0.61450</w:t>
            </w:r>
            <w:r>
              <w:t>5</w:t>
            </w:r>
          </w:p>
        </w:tc>
        <w:tc>
          <w:tcPr>
            <w:tcW w:w="1201" w:type="dxa"/>
          </w:tcPr>
          <w:p w14:paraId="48441D82" w14:textId="77777777" w:rsidR="00FC3259" w:rsidRDefault="00FC3259" w:rsidP="00306060">
            <w:pPr>
              <w:jc w:val="center"/>
            </w:pPr>
            <w:r>
              <w:t>0.883866</w:t>
            </w:r>
          </w:p>
        </w:tc>
        <w:tc>
          <w:tcPr>
            <w:tcW w:w="1523" w:type="dxa"/>
          </w:tcPr>
          <w:p w14:paraId="782CD692" w14:textId="77777777" w:rsidR="00FC3259" w:rsidRDefault="00FC3259" w:rsidP="00306060">
            <w:pPr>
              <w:jc w:val="center"/>
            </w:pPr>
            <w:r w:rsidRPr="003E787C">
              <w:t>0.5503327</w:t>
            </w:r>
          </w:p>
        </w:tc>
      </w:tr>
    </w:tbl>
    <w:p w14:paraId="5EFFAC8D" w14:textId="77777777" w:rsidR="00FC3259" w:rsidRDefault="00FC3259">
      <w:pPr>
        <w:rPr>
          <w:rFonts w:asciiTheme="minorHAnsi" w:hAnsiTheme="minorHAnsi" w:cstheme="minorHAnsi"/>
          <w:sz w:val="22"/>
        </w:rPr>
      </w:pPr>
    </w:p>
    <w:p w14:paraId="7A28D9D8" w14:textId="77777777" w:rsidR="00CB27C8" w:rsidRDefault="00FC3259" w:rsidP="00CB27C8">
      <w:pPr>
        <w:spacing w:line="480" w:lineRule="auto"/>
        <w:rPr>
          <w:rFonts w:asciiTheme="minorHAnsi" w:hAnsiTheme="minorHAnsi" w:cstheme="minorHAnsi"/>
          <w:sz w:val="22"/>
        </w:rPr>
      </w:pPr>
      <w:r>
        <w:rPr>
          <w:rFonts w:asciiTheme="minorHAnsi" w:hAnsiTheme="minorHAnsi" w:cstheme="minorHAnsi"/>
          <w:b/>
          <w:bCs/>
          <w:sz w:val="22"/>
        </w:rPr>
        <w:t xml:space="preserve">Table 1: Summary of models comparing </w:t>
      </w:r>
      <w:r w:rsidR="00CB27C8">
        <w:rPr>
          <w:rFonts w:asciiTheme="minorHAnsi" w:hAnsiTheme="minorHAnsi" w:cstheme="minorHAnsi"/>
          <w:b/>
          <w:bCs/>
          <w:sz w:val="22"/>
        </w:rPr>
        <w:t xml:space="preserve">fixed effects with and without the phylogenetic relatedness as a variance-covariance matrix. </w:t>
      </w:r>
      <w:r w:rsidR="00CB27C8">
        <w:rPr>
          <w:rFonts w:asciiTheme="minorHAnsi" w:hAnsiTheme="minorHAnsi" w:cstheme="minorHAnsi"/>
          <w:sz w:val="22"/>
        </w:rPr>
        <w:t>We see that the lower DIC is associated with the model with the phylogeny indicating a better model. Both models show a low total percentage of heterogeneity, however the model with the phylogeny indicates a stronger phylogenetic signal in our dataset.</w:t>
      </w:r>
    </w:p>
    <w:p w14:paraId="734FD6CA" w14:textId="1FCC42BC" w:rsidR="004E0D9E" w:rsidRDefault="004E0D9E" w:rsidP="00CB27C8">
      <w:pPr>
        <w:spacing w:line="480" w:lineRule="auto"/>
        <w:rPr>
          <w:rFonts w:asciiTheme="minorHAnsi" w:hAnsiTheme="minorHAnsi" w:cstheme="minorHAnsi"/>
          <w:sz w:val="22"/>
        </w:rPr>
      </w:pPr>
      <w:r>
        <w:rPr>
          <w:rFonts w:asciiTheme="minorHAnsi" w:hAnsiTheme="minorHAnsi" w:cstheme="minorHAnsi"/>
          <w:sz w:val="22"/>
        </w:rPr>
        <w:br w:type="page"/>
      </w:r>
    </w:p>
    <w:p w14:paraId="1E89001A" w14:textId="5400EE74" w:rsidR="004E0D9E" w:rsidRDefault="00026596" w:rsidP="00D1601C">
      <w:pPr>
        <w:spacing w:line="480" w:lineRule="auto"/>
        <w:contextualSpacing/>
        <w:rPr>
          <w:rFonts w:asciiTheme="minorHAnsi" w:hAnsiTheme="minorHAnsi" w:cstheme="minorHAnsi"/>
          <w:sz w:val="22"/>
        </w:rPr>
      </w:pPr>
      <w:r>
        <w:rPr>
          <w:rFonts w:asciiTheme="minorHAnsi" w:hAnsiTheme="minorHAnsi" w:cstheme="minorHAnsi"/>
          <w:b/>
          <w:bCs/>
          <w:sz w:val="22"/>
        </w:rPr>
        <w:lastRenderedPageBreak/>
        <w:t>References</w:t>
      </w:r>
    </w:p>
    <w:p w14:paraId="76CD4D29" w14:textId="77777777" w:rsidR="00D22378" w:rsidRPr="00D22378" w:rsidRDefault="006D01C0" w:rsidP="00D22378">
      <w:pPr>
        <w:pStyle w:val="Bibliography"/>
        <w:rPr>
          <w:rFonts w:ascii="Calibri" w:hAnsi="Calibri" w:cs="Calibri"/>
          <w:sz w:val="22"/>
          <w:szCs w:val="24"/>
        </w:rPr>
      </w:pPr>
      <w:r>
        <w:fldChar w:fldCharType="begin"/>
      </w:r>
      <w:r>
        <w:instrText xml:space="preserve"> ADDIN ZOTERO_BIBL {"uncited":[],"omitted":[],"custom":[]} CSL_BIBLIOGRAPHY </w:instrText>
      </w:r>
      <w:r>
        <w:fldChar w:fldCharType="separate"/>
      </w:r>
      <w:r w:rsidR="00D22378" w:rsidRPr="00D22378">
        <w:rPr>
          <w:rFonts w:ascii="Calibri" w:hAnsi="Calibri" w:cs="Calibri"/>
          <w:sz w:val="22"/>
          <w:szCs w:val="24"/>
        </w:rPr>
        <w:t xml:space="preserve">Adams, D.C. (2008). Phylogenetic Meta-Analysis. Evolution </w:t>
      </w:r>
      <w:r w:rsidR="00D22378" w:rsidRPr="00D22378">
        <w:rPr>
          <w:rFonts w:ascii="Calibri" w:hAnsi="Calibri" w:cs="Calibri"/>
          <w:i/>
          <w:iCs/>
          <w:sz w:val="22"/>
          <w:szCs w:val="24"/>
        </w:rPr>
        <w:t>62</w:t>
      </w:r>
      <w:r w:rsidR="00D22378" w:rsidRPr="00D22378">
        <w:rPr>
          <w:rFonts w:ascii="Calibri" w:hAnsi="Calibri" w:cs="Calibri"/>
          <w:sz w:val="22"/>
          <w:szCs w:val="24"/>
        </w:rPr>
        <w:t>, 567–572.</w:t>
      </w:r>
    </w:p>
    <w:p w14:paraId="3D160273"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Duval, S., and Tweedie, R. (2000). Trim and Fill: A Simple Funnel-Plot–Based Method of Testing and Adjusting for Publication Bias in Meta-Analysis. Biometrics </w:t>
      </w:r>
      <w:r w:rsidRPr="00D22378">
        <w:rPr>
          <w:rFonts w:ascii="Calibri" w:hAnsi="Calibri" w:cs="Calibri"/>
          <w:i/>
          <w:iCs/>
          <w:sz w:val="22"/>
          <w:szCs w:val="24"/>
        </w:rPr>
        <w:t>56</w:t>
      </w:r>
      <w:r w:rsidRPr="00D22378">
        <w:rPr>
          <w:rFonts w:ascii="Calibri" w:hAnsi="Calibri" w:cs="Calibri"/>
          <w:sz w:val="22"/>
          <w:szCs w:val="24"/>
        </w:rPr>
        <w:t>, 455–463.</w:t>
      </w:r>
    </w:p>
    <w:p w14:paraId="1068D204" w14:textId="77777777" w:rsidR="00D22378" w:rsidRPr="00D22378" w:rsidRDefault="00D22378" w:rsidP="00D22378">
      <w:pPr>
        <w:pStyle w:val="Bibliography"/>
        <w:rPr>
          <w:rFonts w:ascii="Calibri" w:hAnsi="Calibri" w:cs="Calibri"/>
          <w:sz w:val="22"/>
          <w:szCs w:val="24"/>
        </w:rPr>
      </w:pPr>
      <w:proofErr w:type="spellStart"/>
      <w:r w:rsidRPr="00D22378">
        <w:rPr>
          <w:rFonts w:ascii="Calibri" w:hAnsi="Calibri" w:cs="Calibri"/>
          <w:sz w:val="22"/>
          <w:szCs w:val="24"/>
        </w:rPr>
        <w:t>Gurevitch</w:t>
      </w:r>
      <w:proofErr w:type="spellEnd"/>
      <w:r w:rsidRPr="00D22378">
        <w:rPr>
          <w:rFonts w:ascii="Calibri" w:hAnsi="Calibri" w:cs="Calibri"/>
          <w:sz w:val="22"/>
          <w:szCs w:val="24"/>
        </w:rPr>
        <w:t xml:space="preserve">, J., and Hedges, L.V. (1999). Statistical Issues in Ecological Meta-Analyses. Ecology </w:t>
      </w:r>
      <w:r w:rsidRPr="00D22378">
        <w:rPr>
          <w:rFonts w:ascii="Calibri" w:hAnsi="Calibri" w:cs="Calibri"/>
          <w:i/>
          <w:iCs/>
          <w:sz w:val="22"/>
          <w:szCs w:val="24"/>
        </w:rPr>
        <w:t>80</w:t>
      </w:r>
      <w:r w:rsidRPr="00D22378">
        <w:rPr>
          <w:rFonts w:ascii="Calibri" w:hAnsi="Calibri" w:cs="Calibri"/>
          <w:sz w:val="22"/>
          <w:szCs w:val="24"/>
        </w:rPr>
        <w:t>, 1142–1149.</w:t>
      </w:r>
    </w:p>
    <w:p w14:paraId="204DADEF"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Hadfield, J.D. (2010). MCMC Methods for Multi-Response Generalized Linear Mixed Models: The MCMCglmm R Package. J. Stat. </w:t>
      </w:r>
      <w:proofErr w:type="spellStart"/>
      <w:r w:rsidRPr="00D22378">
        <w:rPr>
          <w:rFonts w:ascii="Calibri" w:hAnsi="Calibri" w:cs="Calibri"/>
          <w:sz w:val="22"/>
          <w:szCs w:val="24"/>
        </w:rPr>
        <w:t>Softw</w:t>
      </w:r>
      <w:proofErr w:type="spellEnd"/>
      <w:r w:rsidRPr="00D22378">
        <w:rPr>
          <w:rFonts w:ascii="Calibri" w:hAnsi="Calibri" w:cs="Calibri"/>
          <w:sz w:val="22"/>
          <w:szCs w:val="24"/>
        </w:rPr>
        <w:t xml:space="preserve">. </w:t>
      </w:r>
      <w:r w:rsidRPr="00D22378">
        <w:rPr>
          <w:rFonts w:ascii="Calibri" w:hAnsi="Calibri" w:cs="Calibri"/>
          <w:i/>
          <w:iCs/>
          <w:sz w:val="22"/>
          <w:szCs w:val="24"/>
        </w:rPr>
        <w:t>33</w:t>
      </w:r>
      <w:r w:rsidRPr="00D22378">
        <w:rPr>
          <w:rFonts w:ascii="Calibri" w:hAnsi="Calibri" w:cs="Calibri"/>
          <w:sz w:val="22"/>
          <w:szCs w:val="24"/>
        </w:rPr>
        <w:t>, 1–22.</w:t>
      </w:r>
    </w:p>
    <w:p w14:paraId="5F16726E"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Higgins, J.P.T., and Thompson, S.G. (2002). Quantifying heterogeneity in a meta-analysis. Stat. Med. </w:t>
      </w:r>
      <w:r w:rsidRPr="00D22378">
        <w:rPr>
          <w:rFonts w:ascii="Calibri" w:hAnsi="Calibri" w:cs="Calibri"/>
          <w:i/>
          <w:iCs/>
          <w:sz w:val="22"/>
          <w:szCs w:val="24"/>
        </w:rPr>
        <w:t>21</w:t>
      </w:r>
      <w:r w:rsidRPr="00D22378">
        <w:rPr>
          <w:rFonts w:ascii="Calibri" w:hAnsi="Calibri" w:cs="Calibri"/>
          <w:sz w:val="22"/>
          <w:szCs w:val="24"/>
        </w:rPr>
        <w:t>, 1539–1558.</w:t>
      </w:r>
    </w:p>
    <w:p w14:paraId="7B30C02C"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Jones, B.C., and DuVal, E.H. (2019). Mechanisms of Social Influence: A Meta-Analysis of the Effects of Social Information on Female Mate Choice Decisions. Front. Ecol. </w:t>
      </w:r>
      <w:proofErr w:type="spellStart"/>
      <w:r w:rsidRPr="00D22378">
        <w:rPr>
          <w:rFonts w:ascii="Calibri" w:hAnsi="Calibri" w:cs="Calibri"/>
          <w:sz w:val="22"/>
          <w:szCs w:val="24"/>
        </w:rPr>
        <w:t>Evol</w:t>
      </w:r>
      <w:proofErr w:type="spellEnd"/>
      <w:r w:rsidRPr="00D22378">
        <w:rPr>
          <w:rFonts w:ascii="Calibri" w:hAnsi="Calibri" w:cs="Calibri"/>
          <w:sz w:val="22"/>
          <w:szCs w:val="24"/>
        </w:rPr>
        <w:t xml:space="preserve">. </w:t>
      </w:r>
      <w:r w:rsidRPr="00D22378">
        <w:rPr>
          <w:rFonts w:ascii="Calibri" w:hAnsi="Calibri" w:cs="Calibri"/>
          <w:i/>
          <w:iCs/>
          <w:sz w:val="22"/>
          <w:szCs w:val="24"/>
        </w:rPr>
        <w:t>7</w:t>
      </w:r>
      <w:r w:rsidRPr="00D22378">
        <w:rPr>
          <w:rFonts w:ascii="Calibri" w:hAnsi="Calibri" w:cs="Calibri"/>
          <w:sz w:val="22"/>
          <w:szCs w:val="24"/>
        </w:rPr>
        <w:t>.</w:t>
      </w:r>
    </w:p>
    <w:p w14:paraId="18494C80"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Kumar, S., </w:t>
      </w:r>
      <w:proofErr w:type="spellStart"/>
      <w:r w:rsidRPr="00D22378">
        <w:rPr>
          <w:rFonts w:ascii="Calibri" w:hAnsi="Calibri" w:cs="Calibri"/>
          <w:sz w:val="22"/>
          <w:szCs w:val="24"/>
        </w:rPr>
        <w:t>Stecher</w:t>
      </w:r>
      <w:proofErr w:type="spellEnd"/>
      <w:r w:rsidRPr="00D22378">
        <w:rPr>
          <w:rFonts w:ascii="Calibri" w:hAnsi="Calibri" w:cs="Calibri"/>
          <w:sz w:val="22"/>
          <w:szCs w:val="24"/>
        </w:rPr>
        <w:t xml:space="preserve">, G., </w:t>
      </w:r>
      <w:proofErr w:type="spellStart"/>
      <w:r w:rsidRPr="00D22378">
        <w:rPr>
          <w:rFonts w:ascii="Calibri" w:hAnsi="Calibri" w:cs="Calibri"/>
          <w:sz w:val="22"/>
          <w:szCs w:val="24"/>
        </w:rPr>
        <w:t>Suleski</w:t>
      </w:r>
      <w:proofErr w:type="spellEnd"/>
      <w:r w:rsidRPr="00D22378">
        <w:rPr>
          <w:rFonts w:ascii="Calibri" w:hAnsi="Calibri" w:cs="Calibri"/>
          <w:sz w:val="22"/>
          <w:szCs w:val="24"/>
        </w:rPr>
        <w:t xml:space="preserve">, M., and Hedges, S.B. (2017). </w:t>
      </w:r>
      <w:proofErr w:type="spellStart"/>
      <w:r w:rsidRPr="00D22378">
        <w:rPr>
          <w:rFonts w:ascii="Calibri" w:hAnsi="Calibri" w:cs="Calibri"/>
          <w:sz w:val="22"/>
          <w:szCs w:val="24"/>
        </w:rPr>
        <w:t>TimeTree</w:t>
      </w:r>
      <w:proofErr w:type="spellEnd"/>
      <w:r w:rsidRPr="00D22378">
        <w:rPr>
          <w:rFonts w:ascii="Calibri" w:hAnsi="Calibri" w:cs="Calibri"/>
          <w:sz w:val="22"/>
          <w:szCs w:val="24"/>
        </w:rPr>
        <w:t xml:space="preserve">: A Resource for Timelines, </w:t>
      </w:r>
      <w:proofErr w:type="spellStart"/>
      <w:r w:rsidRPr="00D22378">
        <w:rPr>
          <w:rFonts w:ascii="Calibri" w:hAnsi="Calibri" w:cs="Calibri"/>
          <w:sz w:val="22"/>
          <w:szCs w:val="24"/>
        </w:rPr>
        <w:t>Timetrees</w:t>
      </w:r>
      <w:proofErr w:type="spellEnd"/>
      <w:r w:rsidRPr="00D22378">
        <w:rPr>
          <w:rFonts w:ascii="Calibri" w:hAnsi="Calibri" w:cs="Calibri"/>
          <w:sz w:val="22"/>
          <w:szCs w:val="24"/>
        </w:rPr>
        <w:t xml:space="preserve">, and Divergence Times. Mol. Biol. </w:t>
      </w:r>
      <w:proofErr w:type="spellStart"/>
      <w:r w:rsidRPr="00D22378">
        <w:rPr>
          <w:rFonts w:ascii="Calibri" w:hAnsi="Calibri" w:cs="Calibri"/>
          <w:sz w:val="22"/>
          <w:szCs w:val="24"/>
        </w:rPr>
        <w:t>Evol</w:t>
      </w:r>
      <w:proofErr w:type="spellEnd"/>
      <w:r w:rsidRPr="00D22378">
        <w:rPr>
          <w:rFonts w:ascii="Calibri" w:hAnsi="Calibri" w:cs="Calibri"/>
          <w:sz w:val="22"/>
          <w:szCs w:val="24"/>
        </w:rPr>
        <w:t xml:space="preserve">. </w:t>
      </w:r>
      <w:r w:rsidRPr="00D22378">
        <w:rPr>
          <w:rFonts w:ascii="Calibri" w:hAnsi="Calibri" w:cs="Calibri"/>
          <w:i/>
          <w:iCs/>
          <w:sz w:val="22"/>
          <w:szCs w:val="24"/>
        </w:rPr>
        <w:t>34</w:t>
      </w:r>
      <w:r w:rsidRPr="00D22378">
        <w:rPr>
          <w:rFonts w:ascii="Calibri" w:hAnsi="Calibri" w:cs="Calibri"/>
          <w:sz w:val="22"/>
          <w:szCs w:val="24"/>
        </w:rPr>
        <w:t>, 1812–1819.</w:t>
      </w:r>
    </w:p>
    <w:p w14:paraId="4F088F5C"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Lipsey, M.W., and Wilson, D.B. (2001). Practical meta-analysis (Thousand Oaks, CA, US: Sage Publications, Inc).</w:t>
      </w:r>
    </w:p>
    <w:p w14:paraId="1670937E"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Lynch, M. (1991). Methods for the Analysis of Comparative Data in Evolutionary Biology. Evolution </w:t>
      </w:r>
      <w:r w:rsidRPr="00D22378">
        <w:rPr>
          <w:rFonts w:ascii="Calibri" w:hAnsi="Calibri" w:cs="Calibri"/>
          <w:i/>
          <w:iCs/>
          <w:sz w:val="22"/>
          <w:szCs w:val="24"/>
        </w:rPr>
        <w:t>45</w:t>
      </w:r>
      <w:r w:rsidRPr="00D22378">
        <w:rPr>
          <w:rFonts w:ascii="Calibri" w:hAnsi="Calibri" w:cs="Calibri"/>
          <w:sz w:val="22"/>
          <w:szCs w:val="24"/>
        </w:rPr>
        <w:t>, 1065–1080.</w:t>
      </w:r>
    </w:p>
    <w:p w14:paraId="77D6FECB"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Nakagawa, S., and Santos, E.S.A. (2012). Methodological issues and advances in biological meta-analysis. </w:t>
      </w:r>
      <w:proofErr w:type="spellStart"/>
      <w:r w:rsidRPr="00D22378">
        <w:rPr>
          <w:rFonts w:ascii="Calibri" w:hAnsi="Calibri" w:cs="Calibri"/>
          <w:sz w:val="22"/>
          <w:szCs w:val="24"/>
        </w:rPr>
        <w:t>Evol</w:t>
      </w:r>
      <w:proofErr w:type="spellEnd"/>
      <w:r w:rsidRPr="00D22378">
        <w:rPr>
          <w:rFonts w:ascii="Calibri" w:hAnsi="Calibri" w:cs="Calibri"/>
          <w:sz w:val="22"/>
          <w:szCs w:val="24"/>
        </w:rPr>
        <w:t xml:space="preserve">. Ecol. </w:t>
      </w:r>
      <w:r w:rsidRPr="00D22378">
        <w:rPr>
          <w:rFonts w:ascii="Calibri" w:hAnsi="Calibri" w:cs="Calibri"/>
          <w:i/>
          <w:iCs/>
          <w:sz w:val="22"/>
          <w:szCs w:val="24"/>
        </w:rPr>
        <w:t>26</w:t>
      </w:r>
      <w:r w:rsidRPr="00D22378">
        <w:rPr>
          <w:rFonts w:ascii="Calibri" w:hAnsi="Calibri" w:cs="Calibri"/>
          <w:sz w:val="22"/>
          <w:szCs w:val="24"/>
        </w:rPr>
        <w:t>, 1253–1274.</w:t>
      </w:r>
    </w:p>
    <w:p w14:paraId="0DF9B087"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Nakagawa, S., Ockendon, N., Gillespie, D.O., </w:t>
      </w:r>
      <w:proofErr w:type="spellStart"/>
      <w:r w:rsidRPr="00D22378">
        <w:rPr>
          <w:rFonts w:ascii="Calibri" w:hAnsi="Calibri" w:cs="Calibri"/>
          <w:sz w:val="22"/>
          <w:szCs w:val="24"/>
        </w:rPr>
        <w:t>Hatchwell</w:t>
      </w:r>
      <w:proofErr w:type="spellEnd"/>
      <w:r w:rsidRPr="00D22378">
        <w:rPr>
          <w:rFonts w:ascii="Calibri" w:hAnsi="Calibri" w:cs="Calibri"/>
          <w:sz w:val="22"/>
          <w:szCs w:val="24"/>
        </w:rPr>
        <w:t xml:space="preserve">, B.J., and Burke, T. (2007). Assessing the function of house sparrows bib size using a flexible meta-analysis method. </w:t>
      </w:r>
      <w:proofErr w:type="spellStart"/>
      <w:r w:rsidRPr="00D22378">
        <w:rPr>
          <w:rFonts w:ascii="Calibri" w:hAnsi="Calibri" w:cs="Calibri"/>
          <w:sz w:val="22"/>
          <w:szCs w:val="24"/>
        </w:rPr>
        <w:t>Behav</w:t>
      </w:r>
      <w:proofErr w:type="spellEnd"/>
      <w:r w:rsidRPr="00D22378">
        <w:rPr>
          <w:rFonts w:ascii="Calibri" w:hAnsi="Calibri" w:cs="Calibri"/>
          <w:sz w:val="22"/>
          <w:szCs w:val="24"/>
        </w:rPr>
        <w:t xml:space="preserve">. Ecol. </w:t>
      </w:r>
      <w:r w:rsidRPr="00D22378">
        <w:rPr>
          <w:rFonts w:ascii="Calibri" w:hAnsi="Calibri" w:cs="Calibri"/>
          <w:i/>
          <w:iCs/>
          <w:sz w:val="22"/>
          <w:szCs w:val="24"/>
        </w:rPr>
        <w:t>18</w:t>
      </w:r>
      <w:r w:rsidRPr="00D22378">
        <w:rPr>
          <w:rFonts w:ascii="Calibri" w:hAnsi="Calibri" w:cs="Calibri"/>
          <w:sz w:val="22"/>
          <w:szCs w:val="24"/>
        </w:rPr>
        <w:t>, 831.</w:t>
      </w:r>
    </w:p>
    <w:p w14:paraId="3EF5EB68"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Paradis, E., Claude, J., and Strimmer, K. (2004). APE: Analyses of Phylogenetics and Evolution in R language. Bioinformatics </w:t>
      </w:r>
      <w:r w:rsidRPr="00D22378">
        <w:rPr>
          <w:rFonts w:ascii="Calibri" w:hAnsi="Calibri" w:cs="Calibri"/>
          <w:i/>
          <w:iCs/>
          <w:sz w:val="22"/>
          <w:szCs w:val="24"/>
        </w:rPr>
        <w:t>20</w:t>
      </w:r>
      <w:r w:rsidRPr="00D22378">
        <w:rPr>
          <w:rFonts w:ascii="Calibri" w:hAnsi="Calibri" w:cs="Calibri"/>
          <w:sz w:val="22"/>
          <w:szCs w:val="24"/>
        </w:rPr>
        <w:t>, 289–290.</w:t>
      </w:r>
    </w:p>
    <w:p w14:paraId="7B54CFBE"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Rosenthal, R. (1979). The file drawer problem and tolerance for null results. Psychol. Bull. </w:t>
      </w:r>
      <w:r w:rsidRPr="00D22378">
        <w:rPr>
          <w:rFonts w:ascii="Calibri" w:hAnsi="Calibri" w:cs="Calibri"/>
          <w:i/>
          <w:iCs/>
          <w:sz w:val="22"/>
          <w:szCs w:val="24"/>
        </w:rPr>
        <w:t>86</w:t>
      </w:r>
      <w:r w:rsidRPr="00D22378">
        <w:rPr>
          <w:rFonts w:ascii="Calibri" w:hAnsi="Calibri" w:cs="Calibri"/>
          <w:sz w:val="22"/>
          <w:szCs w:val="24"/>
        </w:rPr>
        <w:t>, 638–641.</w:t>
      </w:r>
    </w:p>
    <w:p w14:paraId="7FB2997D"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Schwarzer, G. (2007). meta: </w:t>
      </w:r>
      <w:proofErr w:type="gramStart"/>
      <w:r w:rsidRPr="00D22378">
        <w:rPr>
          <w:rFonts w:ascii="Calibri" w:hAnsi="Calibri" w:cs="Calibri"/>
          <w:sz w:val="22"/>
          <w:szCs w:val="24"/>
        </w:rPr>
        <w:t>an</w:t>
      </w:r>
      <w:proofErr w:type="gramEnd"/>
      <w:r w:rsidRPr="00D22378">
        <w:rPr>
          <w:rFonts w:ascii="Calibri" w:hAnsi="Calibri" w:cs="Calibri"/>
          <w:sz w:val="22"/>
          <w:szCs w:val="24"/>
        </w:rPr>
        <w:t xml:space="preserve"> R package for meta-analysis. R News </w:t>
      </w:r>
      <w:r w:rsidRPr="00D22378">
        <w:rPr>
          <w:rFonts w:ascii="Calibri" w:hAnsi="Calibri" w:cs="Calibri"/>
          <w:i/>
          <w:iCs/>
          <w:sz w:val="22"/>
          <w:szCs w:val="24"/>
        </w:rPr>
        <w:t>7</w:t>
      </w:r>
      <w:r w:rsidRPr="00D22378">
        <w:rPr>
          <w:rFonts w:ascii="Calibri" w:hAnsi="Calibri" w:cs="Calibri"/>
          <w:sz w:val="22"/>
          <w:szCs w:val="24"/>
        </w:rPr>
        <w:t>, 40–45.</w:t>
      </w:r>
    </w:p>
    <w:p w14:paraId="01B75F27" w14:textId="77777777" w:rsidR="00D22378" w:rsidRPr="00D22378" w:rsidRDefault="00D22378" w:rsidP="00D22378">
      <w:pPr>
        <w:pStyle w:val="Bibliography"/>
        <w:rPr>
          <w:rFonts w:ascii="Calibri" w:hAnsi="Calibri" w:cs="Calibri"/>
          <w:sz w:val="22"/>
          <w:szCs w:val="24"/>
        </w:rPr>
      </w:pPr>
      <w:r w:rsidRPr="00D22378">
        <w:rPr>
          <w:rFonts w:ascii="Calibri" w:hAnsi="Calibri" w:cs="Calibri"/>
          <w:sz w:val="22"/>
          <w:szCs w:val="24"/>
        </w:rPr>
        <w:t xml:space="preserve">Senior, A.M., </w:t>
      </w:r>
      <w:proofErr w:type="spellStart"/>
      <w:r w:rsidRPr="00D22378">
        <w:rPr>
          <w:rFonts w:ascii="Calibri" w:hAnsi="Calibri" w:cs="Calibri"/>
          <w:sz w:val="22"/>
          <w:szCs w:val="24"/>
        </w:rPr>
        <w:t>Grueber</w:t>
      </w:r>
      <w:proofErr w:type="spellEnd"/>
      <w:r w:rsidRPr="00D22378">
        <w:rPr>
          <w:rFonts w:ascii="Calibri" w:hAnsi="Calibri" w:cs="Calibri"/>
          <w:sz w:val="22"/>
          <w:szCs w:val="24"/>
        </w:rPr>
        <w:t xml:space="preserve">, C.E., </w:t>
      </w:r>
      <w:proofErr w:type="spellStart"/>
      <w:r w:rsidRPr="00D22378">
        <w:rPr>
          <w:rFonts w:ascii="Calibri" w:hAnsi="Calibri" w:cs="Calibri"/>
          <w:sz w:val="22"/>
          <w:szCs w:val="24"/>
        </w:rPr>
        <w:t>Kamiya</w:t>
      </w:r>
      <w:proofErr w:type="spellEnd"/>
      <w:r w:rsidRPr="00D22378">
        <w:rPr>
          <w:rFonts w:ascii="Calibri" w:hAnsi="Calibri" w:cs="Calibri"/>
          <w:sz w:val="22"/>
          <w:szCs w:val="24"/>
        </w:rPr>
        <w:t xml:space="preserve">, T., </w:t>
      </w:r>
      <w:proofErr w:type="spellStart"/>
      <w:r w:rsidRPr="00D22378">
        <w:rPr>
          <w:rFonts w:ascii="Calibri" w:hAnsi="Calibri" w:cs="Calibri"/>
          <w:sz w:val="22"/>
          <w:szCs w:val="24"/>
        </w:rPr>
        <w:t>Lagisz</w:t>
      </w:r>
      <w:proofErr w:type="spellEnd"/>
      <w:r w:rsidRPr="00D22378">
        <w:rPr>
          <w:rFonts w:ascii="Calibri" w:hAnsi="Calibri" w:cs="Calibri"/>
          <w:sz w:val="22"/>
          <w:szCs w:val="24"/>
        </w:rPr>
        <w:t xml:space="preserve">, M., </w:t>
      </w:r>
      <w:proofErr w:type="spellStart"/>
      <w:r w:rsidRPr="00D22378">
        <w:rPr>
          <w:rFonts w:ascii="Calibri" w:hAnsi="Calibri" w:cs="Calibri"/>
          <w:sz w:val="22"/>
          <w:szCs w:val="24"/>
        </w:rPr>
        <w:t>O’Dwyer</w:t>
      </w:r>
      <w:proofErr w:type="spellEnd"/>
      <w:r w:rsidRPr="00D22378">
        <w:rPr>
          <w:rFonts w:ascii="Calibri" w:hAnsi="Calibri" w:cs="Calibri"/>
          <w:sz w:val="22"/>
          <w:szCs w:val="24"/>
        </w:rPr>
        <w:t xml:space="preserve">, K., Santos, E.S.A., and Nakagawa, S. (2016). Heterogeneity in ecological and evolutionary meta-analyses: its magnitude and implications. Ecology </w:t>
      </w:r>
      <w:r w:rsidRPr="00D22378">
        <w:rPr>
          <w:rFonts w:ascii="Calibri" w:hAnsi="Calibri" w:cs="Calibri"/>
          <w:i/>
          <w:iCs/>
          <w:sz w:val="22"/>
          <w:szCs w:val="24"/>
        </w:rPr>
        <w:t>97</w:t>
      </w:r>
      <w:r w:rsidRPr="00D22378">
        <w:rPr>
          <w:rFonts w:ascii="Calibri" w:hAnsi="Calibri" w:cs="Calibri"/>
          <w:sz w:val="22"/>
          <w:szCs w:val="24"/>
        </w:rPr>
        <w:t>, 3293–3299.</w:t>
      </w:r>
    </w:p>
    <w:p w14:paraId="42C8BD5E" w14:textId="4CC8DFCE" w:rsidR="00026596" w:rsidRPr="00026596" w:rsidRDefault="006D01C0" w:rsidP="00D1601C">
      <w:pPr>
        <w:spacing w:line="480" w:lineRule="auto"/>
        <w:contextualSpacing/>
        <w:rPr>
          <w:rFonts w:asciiTheme="minorHAnsi" w:hAnsiTheme="minorHAnsi" w:cstheme="minorHAnsi"/>
          <w:sz w:val="22"/>
        </w:rPr>
      </w:pPr>
      <w:r>
        <w:rPr>
          <w:rFonts w:asciiTheme="minorHAnsi" w:hAnsiTheme="minorHAnsi" w:cstheme="minorHAnsi"/>
          <w:sz w:val="22"/>
        </w:rPr>
        <w:fldChar w:fldCharType="end"/>
      </w:r>
    </w:p>
    <w:sectPr w:rsidR="00026596" w:rsidRPr="00026596"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rgUALdWxYSwAAAA="/>
  </w:docVars>
  <w:rsids>
    <w:rsidRoot w:val="006B08DF"/>
    <w:rsid w:val="00026596"/>
    <w:rsid w:val="00122C9A"/>
    <w:rsid w:val="002100D9"/>
    <w:rsid w:val="002B10B8"/>
    <w:rsid w:val="00306060"/>
    <w:rsid w:val="00410648"/>
    <w:rsid w:val="004E0D9E"/>
    <w:rsid w:val="005759E1"/>
    <w:rsid w:val="005D024F"/>
    <w:rsid w:val="0060347E"/>
    <w:rsid w:val="006B08DF"/>
    <w:rsid w:val="006D01C0"/>
    <w:rsid w:val="0072177C"/>
    <w:rsid w:val="007D6EF1"/>
    <w:rsid w:val="00833EFF"/>
    <w:rsid w:val="009F7CA9"/>
    <w:rsid w:val="00A9594E"/>
    <w:rsid w:val="00AF0CE0"/>
    <w:rsid w:val="00C135B6"/>
    <w:rsid w:val="00C310E4"/>
    <w:rsid w:val="00C91CA6"/>
    <w:rsid w:val="00CA7125"/>
    <w:rsid w:val="00CB27C8"/>
    <w:rsid w:val="00D1601C"/>
    <w:rsid w:val="00D22378"/>
    <w:rsid w:val="00D439D4"/>
    <w:rsid w:val="00D4630C"/>
    <w:rsid w:val="00E51C36"/>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8403</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11</cp:revision>
  <dcterms:created xsi:type="dcterms:W3CDTF">2021-07-06T17:32:00Z</dcterms:created>
  <dcterms:modified xsi:type="dcterms:W3CDTF">2021-07-07T23:24:00Z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id="wb5DJv4N"/&gt;&lt;style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