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rFonts w:ascii="Calibri" w:cs="Calibri" w:eastAsia="Calibri" w:hAnsi="Calibri"/>
          <w:b/>
          <w:bCs/>
          <w:color w:val="1F3864"/>
          <w:sz w:val="44"/>
          <w:szCs w:val="44"/>
        </w:rPr>
        <w:t xml:space="preserve">DevOps Assessment POC</w:t>
      </w:r>
    </w:p>
    <w:p>
      <w:pPr>
        <w:spacing w:after="100"/>
      </w:pPr>
      <w:r>
        <w:rPr>
          <w:rFonts w:ascii="Calibri" w:cs="Calibri" w:eastAsia="Calibri" w:hAnsi="Calibri"/>
          <w:color w:val="2E74B5"/>
          <w:sz w:val="28"/>
          <w:szCs w:val="28"/>
        </w:rPr>
        <w:t xml:space="preserve">Terraform Infrastructure Design + Database Reliability</w:t>
      </w:r>
    </w:p>
    <w:p>
      <w:pPr>
        <w:spacing w:after="400"/>
      </w:pPr>
      <w:r>
        <w:rPr>
          <w:rFonts w:ascii="Calibri" w:cs="Calibri" w:eastAsia="Calibri" w:hAnsi="Calibri"/>
          <w:i/>
          <w:iCs/>
          <w:color w:val="595959"/>
          <w:sz w:val="22"/>
          <w:szCs w:val="22"/>
        </w:rPr>
        <w:t xml:space="preserve">Internet → ALB → ECS/Fargate → RDS, with a locally verified Postgres reliability workflow</w:t>
      </w:r>
    </w:p>
    <w:p>
      <w:pPr>
        <w:pStyle w:val="Heading2"/>
        <w:spacing w:after="120" w:before="300"/>
      </w:pPr>
      <w:r>
        <w:rPr>
          <w:rFonts w:ascii="Calibri" w:cs="Calibri" w:eastAsia="Calibri" w:hAnsi="Calibri"/>
          <w:b/>
          <w:bCs/>
          <w:color w:val="2E74B5"/>
          <w:sz w:val="25"/>
          <w:szCs w:val="25"/>
        </w:rPr>
        <w:t xml:space="preserve">Repository</w:t>
      </w:r>
    </w:p>
    <w:p>
      <w:pPr>
        <w:spacing w:after="200"/>
      </w:pPr>
      <w:hyperlink w:history="1" r:id="rId6iw3hq4jljua3flxbpwyj">
        <w:r>
          <w:rPr>
            <w:rStyle w:val="Hyperlink"/>
            <w:rFonts w:ascii="Calibri" w:cs="Calibri" w:eastAsia="Calibri" w:hAnsi="Calibri"/>
            <w:color w:val="2E74B5"/>
            <w:sz w:val="22"/>
            <w:szCs w:val="22"/>
            <w:u w:val="single"/>
          </w:rPr>
          <w:t xml:space="preserve">github.com/srujan-patil/project1</w:t>
        </w:r>
      </w:hyperlink>
    </w:p>
    <w:p>
      <w:pPr>
        <w:pStyle w:val="Heading2"/>
        <w:spacing w:after="120" w:before="300"/>
      </w:pPr>
      <w:r>
        <w:rPr>
          <w:rFonts w:ascii="Calibri" w:cs="Calibri" w:eastAsia="Calibri" w:hAnsi="Calibri"/>
          <w:b/>
          <w:bCs/>
          <w:color w:val="2E74B5"/>
          <w:sz w:val="25"/>
          <w:szCs w:val="25"/>
        </w:rPr>
        <w:t xml:space="preserve">Author</w:t>
      </w:r>
    </w:p>
    <w:p>
      <w:pPr>
        <w:spacing w:after="160" w:line="276"/>
      </w:pPr>
      <w:r>
        <w:rPr>
          <w:rFonts w:ascii="Calibri" w:cs="Calibri" w:eastAsia="Calibri" w:hAnsi="Calibri"/>
          <w:sz w:val="22"/>
          <w:szCs w:val="22"/>
        </w:rPr>
        <w:t xml:space="preserve">Srujan Panthula — Cloud Platform Engineer</w:t>
      </w:r>
    </w:p>
    <w:p>
      <w:pPr>
        <w:pStyle w:val="Heading1"/>
        <w:pBdr>
          <w:bottom w:val="single" w:color="1F3864" w:sz="8" w:space="4"/>
        </w:pBdr>
        <w:spacing w:after="200" w:before="400"/>
      </w:pPr>
      <w:r>
        <w:rPr>
          <w:rFonts w:ascii="Calibri" w:cs="Calibri" w:eastAsia="Calibri" w:hAnsi="Calibri"/>
          <w:b/>
          <w:bCs/>
          <w:color w:val="1F3864"/>
          <w:sz w:val="30"/>
          <w:szCs w:val="30"/>
        </w:rPr>
        <w:t xml:space="preserve">1. Overview</w:t>
      </w:r>
    </w:p>
    <w:p>
      <w:pPr>
        <w:spacing w:after="160" w:line="276"/>
      </w:pPr>
      <w:r>
        <w:rPr>
          <w:rFonts w:ascii="Calibri" w:cs="Calibri" w:eastAsia="Calibri" w:hAnsi="Calibri"/>
          <w:sz w:val="22"/>
          <w:szCs w:val="22"/>
        </w:rPr>
        <w:t xml:space="preserve">This Proof of Concept demonstrates an end-to-end, review-ready DevOps deliverable covering AWS infrastructure design in Terraform and a fully runnable database reliability workflow in PostgreSQL. It was built in response to a DevOps assessment brief requiring: modular Terraform infrastructure across dev/prod environments, a locally runnable database stack, a query optimization exercise, and a tested backup/restore procedure.</w:t>
      </w:r>
    </w:p>
    <w:p>
      <w:pPr>
        <w:spacing w:after="160" w:line="276"/>
      </w:pPr>
      <w:r>
        <w:rPr>
          <w:rFonts w:ascii="Calibri" w:cs="Calibri" w:eastAsia="Calibri" w:hAnsi="Calibri"/>
          <w:sz w:val="22"/>
          <w:szCs w:val="22"/>
        </w:rPr>
        <w:t xml:space="preserve">Unlike a purely theoretical submission, every database-layer claim in this document was independently verified by actually running the stack end-to-end — migrations, seed data, EXPLAIN ANALYZE plans, and a full backup/restore cycle with row-count verification. The Terraform layer was validated with fmt, init, and a full plan against live AWS credentials, without ever running apply, keeping the exercise cost-safe.</w:t>
      </w:r>
    </w:p>
    <w:p>
      <w:pPr>
        <w:pStyle w:val="Heading1"/>
        <w:pBdr>
          <w:bottom w:val="single" w:color="1F3864" w:sz="8" w:space="4"/>
        </w:pBdr>
        <w:spacing w:after="200" w:before="400"/>
      </w:pPr>
      <w:r>
        <w:rPr>
          <w:rFonts w:ascii="Calibri" w:cs="Calibri" w:eastAsia="Calibri" w:hAnsi="Calibri"/>
          <w:b/>
          <w:bCs/>
          <w:color w:val="1F3864"/>
          <w:sz w:val="30"/>
          <w:szCs w:val="30"/>
        </w:rPr>
        <w:t xml:space="preserve">2. POC Objectives</w:t>
      </w:r>
    </w:p>
    <w:p>
      <w:pPr>
        <w:pStyle w:val="ListParagraph"/>
        <w:numPr>
          <w:ilvl w:val="0"/>
          <w:numId w:val="2"/>
        </w:numPr>
        <w:spacing w:after="80" w:line="264"/>
      </w:pPr>
      <w:r>
        <w:rPr>
          <w:rFonts w:ascii="Calibri" w:cs="Calibri" w:eastAsia="Calibri" w:hAnsi="Calibri"/>
          <w:sz w:val="22"/>
          <w:szCs w:val="22"/>
        </w:rPr>
        <w:t xml:space="preserve">Design a private, security-group-isolated AWS network for an ALB → ECS/Fargate → RDS topology using Terraform</w:t>
      </w:r>
    </w:p>
    <w:p>
      <w:pPr>
        <w:pStyle w:val="ListParagraph"/>
        <w:numPr>
          <w:ilvl w:val="0"/>
          <w:numId w:val="2"/>
        </w:numPr>
        <w:spacing w:after="80" w:line="264"/>
      </w:pPr>
      <w:r>
        <w:rPr>
          <w:rFonts w:ascii="Calibri" w:cs="Calibri" w:eastAsia="Calibri" w:hAnsi="Calibri"/>
          <w:sz w:val="22"/>
          <w:szCs w:val="22"/>
        </w:rPr>
        <w:t xml:space="preserve">Structure Terraform into reusable modules (network, ecs, rds) consumed by two independent environments (dev, prod)</w:t>
      </w:r>
    </w:p>
    <w:p>
      <w:pPr>
        <w:pStyle w:val="ListParagraph"/>
        <w:numPr>
          <w:ilvl w:val="0"/>
          <w:numId w:val="2"/>
        </w:numPr>
        <w:spacing w:after="80" w:line="264"/>
      </w:pPr>
      <w:r>
        <w:rPr>
          <w:rFonts w:ascii="Calibri" w:cs="Calibri" w:eastAsia="Calibri" w:hAnsi="Calibri"/>
          <w:sz w:val="22"/>
          <w:szCs w:val="22"/>
        </w:rPr>
        <w:t xml:space="preserve">Differentiate environments realistically — instance sizing, backup retention, deletion protection, and Multi-AZ — without duplicating module logic</w:t>
      </w:r>
    </w:p>
    <w:p>
      <w:pPr>
        <w:pStyle w:val="ListParagraph"/>
        <w:numPr>
          <w:ilvl w:val="0"/>
          <w:numId w:val="2"/>
        </w:numPr>
        <w:spacing w:after="80" w:line="264"/>
      </w:pPr>
      <w:r>
        <w:rPr>
          <w:rFonts w:ascii="Calibri" w:cs="Calibri" w:eastAsia="Calibri" w:hAnsi="Calibri"/>
          <w:sz w:val="22"/>
          <w:szCs w:val="22"/>
        </w:rPr>
        <w:t xml:space="preserve">Stand up a fully local, Docker-based PostgreSQL environment with reproducible migrations and seed data</w:t>
      </w:r>
    </w:p>
    <w:p>
      <w:pPr>
        <w:pStyle w:val="ListParagraph"/>
        <w:numPr>
          <w:ilvl w:val="0"/>
          <w:numId w:val="2"/>
        </w:numPr>
        <w:spacing w:after="80" w:line="264"/>
      </w:pPr>
      <w:r>
        <w:rPr>
          <w:rFonts w:ascii="Calibri" w:cs="Calibri" w:eastAsia="Calibri" w:hAnsi="Calibri"/>
          <w:sz w:val="22"/>
          <w:szCs w:val="22"/>
        </w:rPr>
        <w:t xml:space="preserve">Identify and resolve a real query performance problem using a purpose-built index, and prove the fix with an execution plan, not just a claim</w:t>
      </w:r>
    </w:p>
    <w:p>
      <w:pPr>
        <w:pStyle w:val="ListParagraph"/>
        <w:numPr>
          <w:ilvl w:val="0"/>
          <w:numId w:val="2"/>
        </w:numPr>
        <w:spacing w:after="80" w:line="264"/>
      </w:pPr>
      <w:r>
        <w:rPr>
          <w:rFonts w:ascii="Calibri" w:cs="Calibri" w:eastAsia="Calibri" w:hAnsi="Calibri"/>
          <w:sz w:val="22"/>
          <w:szCs w:val="22"/>
        </w:rPr>
        <w:t xml:space="preserve">Build and test backup and restore scripts with an explicit, automated verification step — not just “it ran without erroring”</w:t>
      </w:r>
    </w:p>
    <w:p>
      <w:pPr>
        <w:pStyle w:val="ListParagraph"/>
        <w:numPr>
          <w:ilvl w:val="0"/>
          <w:numId w:val="2"/>
        </w:numPr>
        <w:spacing w:after="80" w:line="264"/>
      </w:pPr>
      <w:r>
        <w:rPr>
          <w:rFonts w:ascii="Calibri" w:cs="Calibri" w:eastAsia="Calibri" w:hAnsi="Calibri"/>
          <w:sz w:val="22"/>
          <w:szCs w:val="22"/>
        </w:rPr>
        <w:t xml:space="preserve">Wire an optional GitHub Actions workflow for Terraform fmt/init/validate/plan on every pull request</w:t>
      </w:r>
    </w:p>
    <w:p>
      <w:pPr>
        <w:pStyle w:val="Heading1"/>
        <w:pBdr>
          <w:bottom w:val="single" w:color="1F3864" w:sz="8" w:space="4"/>
        </w:pBdr>
        <w:spacing w:after="200" w:before="400"/>
      </w:pPr>
      <w:r>
        <w:rPr>
          <w:rFonts w:ascii="Calibri" w:cs="Calibri" w:eastAsia="Calibri" w:hAnsi="Calibri"/>
          <w:b/>
          <w:bCs/>
          <w:color w:val="1F3864"/>
          <w:sz w:val="30"/>
          <w:szCs w:val="30"/>
        </w:rPr>
        <w:t xml:space="preserve">3. Repository Structure</w:t>
      </w:r>
    </w:p>
    <w:p>
      <w:pPr>
        <w:shd w:fill="F2F2F2" w:val="clear"/>
        <w:spacing w:after="0" w:line="240"/>
      </w:pPr>
      <w:r>
        <w:rPr>
          <w:rFonts w:ascii="Consolas" w:cs="Consolas" w:eastAsia="Consolas" w:hAnsi="Consolas"/>
          <w:color w:val="1A1A1A"/>
          <w:sz w:val="19"/>
          <w:szCs w:val="19"/>
        </w:rPr>
        <w:t xml:space="preserve">project1/</w:t>
      </w:r>
    </w:p>
    <w:p>
      <w:pPr>
        <w:shd w:fill="F2F2F2" w:val="clear"/>
        <w:spacing w:after="0" w:line="240"/>
      </w:pPr>
      <w:r>
        <w:rPr>
          <w:rFonts w:ascii="Consolas" w:cs="Consolas" w:eastAsia="Consolas" w:hAnsi="Consolas"/>
          <w:color w:val="1A1A1A"/>
          <w:sz w:val="19"/>
          <w:szCs w:val="19"/>
        </w:rPr>
        <w:t xml:space="preserve">├── README.md</w:t>
      </w:r>
    </w:p>
    <w:p>
      <w:pPr>
        <w:shd w:fill="F2F2F2" w:val="clear"/>
        <w:spacing w:after="0" w:line="240"/>
      </w:pPr>
      <w:r>
        <w:rPr>
          <w:rFonts w:ascii="Consolas" w:cs="Consolas" w:eastAsia="Consolas" w:hAnsi="Consolas"/>
          <w:color w:val="1A1A1A"/>
          <w:sz w:val="19"/>
          <w:szCs w:val="19"/>
        </w:rPr>
        <w:t xml:space="preserve">├── docker-compose.yml</w:t>
      </w:r>
    </w:p>
    <w:p>
      <w:pPr>
        <w:shd w:fill="F2F2F2" w:val="clear"/>
        <w:spacing w:after="0" w:line="240"/>
      </w:pPr>
      <w:r>
        <w:rPr>
          <w:rFonts w:ascii="Consolas" w:cs="Consolas" w:eastAsia="Consolas" w:hAnsi="Consolas"/>
          <w:color w:val="1A1A1A"/>
          <w:sz w:val="19"/>
          <w:szCs w:val="19"/>
        </w:rPr>
        <w:t xml:space="preserve">├── docker/</w:t>
      </w:r>
    </w:p>
    <w:p>
      <w:pPr>
        <w:shd w:fill="F2F2F2" w:val="clear"/>
        <w:spacing w:after="0" w:line="240"/>
      </w:pPr>
      <w:r>
        <w:rPr>
          <w:rFonts w:ascii="Consolas" w:cs="Consolas" w:eastAsia="Consolas" w:hAnsi="Consolas"/>
          <w:color w:val="1A1A1A"/>
          <w:sz w:val="19"/>
          <w:szCs w:val="19"/>
        </w:rPr>
        <w:t xml:space="preserve">│   └── init-order.sh</w:t>
      </w:r>
    </w:p>
    <w:p>
      <w:pPr>
        <w:shd w:fill="F2F2F2" w:val="clear"/>
        <w:spacing w:after="0" w:line="240"/>
      </w:pPr>
      <w:r>
        <w:rPr>
          <w:rFonts w:ascii="Consolas" w:cs="Consolas" w:eastAsia="Consolas" w:hAnsi="Consolas"/>
          <w:color w:val="1A1A1A"/>
          <w:sz w:val="19"/>
          <w:szCs w:val="19"/>
        </w:rPr>
        <w:t xml:space="preserve">├── infra/</w:t>
      </w:r>
    </w:p>
    <w:p>
      <w:pPr>
        <w:shd w:fill="F2F2F2" w:val="clear"/>
        <w:spacing w:after="0" w:line="240"/>
      </w:pPr>
      <w:r>
        <w:rPr>
          <w:rFonts w:ascii="Consolas" w:cs="Consolas" w:eastAsia="Consolas" w:hAnsi="Consolas"/>
          <w:color w:val="1A1A1A"/>
          <w:sz w:val="19"/>
          <w:szCs w:val="19"/>
        </w:rPr>
        <w:t xml:space="preserve">│   ├── modules/</w:t>
      </w:r>
    </w:p>
    <w:p>
      <w:pPr>
        <w:shd w:fill="F2F2F2" w:val="clear"/>
        <w:spacing w:after="0" w:line="240"/>
      </w:pPr>
      <w:r>
        <w:rPr>
          <w:rFonts w:ascii="Consolas" w:cs="Consolas" w:eastAsia="Consolas" w:hAnsi="Consolas"/>
          <w:color w:val="1A1A1A"/>
          <w:sz w:val="19"/>
          <w:szCs w:val="19"/>
        </w:rPr>
        <w:t xml:space="preserve">│   │   ├── network/      # VPC, subnets, NAT, ALB/ECS/RDS security groups</w:t>
      </w:r>
    </w:p>
    <w:p>
      <w:pPr>
        <w:shd w:fill="F2F2F2" w:val="clear"/>
        <w:spacing w:after="0" w:line="240"/>
      </w:pPr>
      <w:r>
        <w:rPr>
          <w:rFonts w:ascii="Consolas" w:cs="Consolas" w:eastAsia="Consolas" w:hAnsi="Consolas"/>
          <w:color w:val="1A1A1A"/>
          <w:sz w:val="19"/>
          <w:szCs w:val="19"/>
        </w:rPr>
        <w:t xml:space="preserve">│   │   ├── ecs/           # ALB, target group, ECS cluster, Fargate service</w:t>
      </w:r>
    </w:p>
    <w:p>
      <w:pPr>
        <w:shd w:fill="F2F2F2" w:val="clear"/>
        <w:spacing w:after="0" w:line="240"/>
      </w:pPr>
      <w:r>
        <w:rPr>
          <w:rFonts w:ascii="Consolas" w:cs="Consolas" w:eastAsia="Consolas" w:hAnsi="Consolas"/>
          <w:color w:val="1A1A1A"/>
          <w:sz w:val="19"/>
          <w:szCs w:val="19"/>
        </w:rPr>
        <w:t xml:space="preserve">│   │   └── rds/           # Private RDS instance (Postgres)</w:t>
      </w:r>
    </w:p>
    <w:p>
      <w:pPr>
        <w:shd w:fill="F2F2F2" w:val="clear"/>
        <w:spacing w:after="0" w:line="240"/>
      </w:pPr>
      <w:r>
        <w:rPr>
          <w:rFonts w:ascii="Consolas" w:cs="Consolas" w:eastAsia="Consolas" w:hAnsi="Consolas"/>
          <w:color w:val="1A1A1A"/>
          <w:sz w:val="19"/>
          <w:szCs w:val="19"/>
        </w:rPr>
        <w:t xml:space="preserve">│   └── envs/</w:t>
      </w:r>
    </w:p>
    <w:p>
      <w:pPr>
        <w:shd w:fill="F2F2F2" w:val="clear"/>
        <w:spacing w:after="0" w:line="240"/>
      </w:pPr>
      <w:r>
        <w:rPr>
          <w:rFonts w:ascii="Consolas" w:cs="Consolas" w:eastAsia="Consolas" w:hAnsi="Consolas"/>
          <w:color w:val="1A1A1A"/>
          <w:sz w:val="19"/>
          <w:szCs w:val="19"/>
        </w:rPr>
        <w:t xml:space="preserve">│       ├── dev/           # smaller instance, 1-day retention, no deletion protection</w:t>
      </w:r>
    </w:p>
    <w:p>
      <w:pPr>
        <w:shd w:fill="F2F2F2" w:val="clear"/>
        <w:spacing w:after="0" w:line="240"/>
      </w:pPr>
      <w:r>
        <w:rPr>
          <w:rFonts w:ascii="Consolas" w:cs="Consolas" w:eastAsia="Consolas" w:hAnsi="Consolas"/>
          <w:color w:val="1A1A1A"/>
          <w:sz w:val="19"/>
          <w:szCs w:val="19"/>
        </w:rPr>
        <w:t xml:space="preserve">│       └── prod/          # larger instance, 30-day retention, Multi-AZ, deletion protection ON</w:t>
      </w:r>
    </w:p>
    <w:p>
      <w:pPr>
        <w:shd w:fill="F2F2F2" w:val="clear"/>
        <w:spacing w:after="0" w:line="240"/>
      </w:pPr>
      <w:r>
        <w:rPr>
          <w:rFonts w:ascii="Consolas" w:cs="Consolas" w:eastAsia="Consolas" w:hAnsi="Consolas"/>
          <w:color w:val="1A1A1A"/>
          <w:sz w:val="19"/>
          <w:szCs w:val="19"/>
        </w:rPr>
        <w:t xml:space="preserve">├── migrations/</w:t>
      </w:r>
    </w:p>
    <w:p>
      <w:pPr>
        <w:shd w:fill="F2F2F2" w:val="clear"/>
        <w:spacing w:after="0" w:line="240"/>
      </w:pPr>
      <w:r>
        <w:rPr>
          <w:rFonts w:ascii="Consolas" w:cs="Consolas" w:eastAsia="Consolas" w:hAnsi="Consolas"/>
          <w:color w:val="1A1A1A"/>
          <w:sz w:val="19"/>
          <w:szCs w:val="19"/>
        </w:rPr>
        <w:t xml:space="preserve">│   ├── 001_create_tables.sql</w:t>
      </w:r>
    </w:p>
    <w:p>
      <w:pPr>
        <w:shd w:fill="F2F2F2" w:val="clear"/>
        <w:spacing w:after="0" w:line="240"/>
      </w:pPr>
      <w:r>
        <w:rPr>
          <w:rFonts w:ascii="Consolas" w:cs="Consolas" w:eastAsia="Consolas" w:hAnsi="Consolas"/>
          <w:color w:val="1A1A1A"/>
          <w:sz w:val="19"/>
          <w:szCs w:val="19"/>
        </w:rPr>
        <w:t xml:space="preserve">│   └── 002_indexes.sql</w:t>
      </w:r>
    </w:p>
    <w:p>
      <w:pPr>
        <w:shd w:fill="F2F2F2" w:val="clear"/>
        <w:spacing w:after="0" w:line="240"/>
      </w:pPr>
      <w:r>
        <w:rPr>
          <w:rFonts w:ascii="Consolas" w:cs="Consolas" w:eastAsia="Consolas" w:hAnsi="Consolas"/>
          <w:color w:val="1A1A1A"/>
          <w:sz w:val="19"/>
          <w:szCs w:val="19"/>
        </w:rPr>
        <w:t xml:space="preserve">├── seed/</w:t>
      </w:r>
    </w:p>
    <w:p>
      <w:pPr>
        <w:shd w:fill="F2F2F2" w:val="clear"/>
        <w:spacing w:after="0" w:line="240"/>
      </w:pPr>
      <w:r>
        <w:rPr>
          <w:rFonts w:ascii="Consolas" w:cs="Consolas" w:eastAsia="Consolas" w:hAnsi="Consolas"/>
          <w:color w:val="1A1A1A"/>
          <w:sz w:val="19"/>
          <w:szCs w:val="19"/>
        </w:rPr>
        <w:t xml:space="preserve">│   ├── generate_seed.py</w:t>
      </w:r>
    </w:p>
    <w:p>
      <w:pPr>
        <w:shd w:fill="F2F2F2" w:val="clear"/>
        <w:spacing w:after="0" w:line="240"/>
      </w:pPr>
      <w:r>
        <w:rPr>
          <w:rFonts w:ascii="Consolas" w:cs="Consolas" w:eastAsia="Consolas" w:hAnsi="Consolas"/>
          <w:color w:val="1A1A1A"/>
          <w:sz w:val="19"/>
          <w:szCs w:val="19"/>
        </w:rPr>
        <w:t xml:space="preserve">│   └── 001_seed_data.sql</w:t>
      </w:r>
    </w:p>
    <w:p>
      <w:pPr>
        <w:shd w:fill="F2F2F2" w:val="clear"/>
        <w:spacing w:after="0" w:line="240"/>
      </w:pPr>
      <w:r>
        <w:rPr>
          <w:rFonts w:ascii="Consolas" w:cs="Consolas" w:eastAsia="Consolas" w:hAnsi="Consolas"/>
          <w:color w:val="1A1A1A"/>
          <w:sz w:val="19"/>
          <w:szCs w:val="19"/>
        </w:rPr>
        <w:t xml:space="preserve">├── scripts/</w:t>
      </w:r>
    </w:p>
    <w:p>
      <w:pPr>
        <w:shd w:fill="F2F2F2" w:val="clear"/>
        <w:spacing w:after="0" w:line="240"/>
      </w:pPr>
      <w:r>
        <w:rPr>
          <w:rFonts w:ascii="Consolas" w:cs="Consolas" w:eastAsia="Consolas" w:hAnsi="Consolas"/>
          <w:color w:val="1A1A1A"/>
          <w:sz w:val="19"/>
          <w:szCs w:val="19"/>
        </w:rPr>
        <w:t xml:space="preserve">│   ├── backup.sh</w:t>
      </w:r>
    </w:p>
    <w:p>
      <w:pPr>
        <w:shd w:fill="F2F2F2" w:val="clear"/>
        <w:spacing w:after="0" w:line="240"/>
      </w:pPr>
      <w:r>
        <w:rPr>
          <w:rFonts w:ascii="Consolas" w:cs="Consolas" w:eastAsia="Consolas" w:hAnsi="Consolas"/>
          <w:color w:val="1A1A1A"/>
          <w:sz w:val="19"/>
          <w:szCs w:val="19"/>
        </w:rPr>
        <w:t xml:space="preserve">│   └── restore.sh</w:t>
      </w:r>
    </w:p>
    <w:p>
      <w:pPr>
        <w:shd w:fill="F2F2F2" w:val="clear"/>
        <w:spacing w:after="0" w:line="240"/>
      </w:pPr>
      <w:r>
        <w:rPr>
          <w:rFonts w:ascii="Consolas" w:cs="Consolas" w:eastAsia="Consolas" w:hAnsi="Consolas"/>
          <w:color w:val="1A1A1A"/>
          <w:sz w:val="19"/>
          <w:szCs w:val="19"/>
        </w:rPr>
        <w:t xml:space="preserve">└── .github/workflows/</w:t>
      </w:r>
    </w:p>
    <w:p>
      <w:pPr>
        <w:shd w:fill="F2F2F2" w:val="clear"/>
        <w:spacing w:after="0" w:line="240"/>
      </w:pPr>
      <w:r>
        <w:rPr>
          <w:rFonts w:ascii="Consolas" w:cs="Consolas" w:eastAsia="Consolas" w:hAnsi="Consolas"/>
          <w:color w:val="1A1A1A"/>
          <w:sz w:val="19"/>
          <w:szCs w:val="19"/>
        </w:rPr>
        <w:t xml:space="preserve">    └── terraform.yml</w:t>
      </w:r>
    </w:p>
    <w:p>
      <w:pPr>
        <w:pStyle w:val="Heading1"/>
        <w:pBdr>
          <w:bottom w:val="single" w:color="1F3864" w:sz="8" w:space="4"/>
        </w:pBdr>
        <w:spacing w:after="200" w:before="400"/>
      </w:pPr>
      <w:r>
        <w:rPr>
          <w:rFonts w:ascii="Calibri" w:cs="Calibri" w:eastAsia="Calibri" w:hAnsi="Calibri"/>
          <w:b/>
          <w:bCs/>
          <w:color w:val="1F3864"/>
          <w:sz w:val="30"/>
          <w:szCs w:val="30"/>
        </w:rPr>
        <w:t xml:space="preserve">4. High-Level Implementation Summary</w:t>
      </w:r>
    </w:p>
    <w:p>
      <w:pPr>
        <w:spacing w:after="160" w:line="276"/>
      </w:pPr>
      <w:r>
        <w:rPr>
          <w:rFonts w:ascii="Calibri" w:cs="Calibri" w:eastAsia="Calibri" w:hAnsi="Calibri"/>
          <w:sz w:val="22"/>
          <w:szCs w:val="22"/>
        </w:rPr>
        <w:t xml:space="preserve">The POC is composed of four layers:</w:t>
      </w:r>
    </w:p>
    <w:p>
      <w:pPr>
        <w:pStyle w:val="ListParagraph"/>
        <w:numPr>
          <w:ilvl w:val="0"/>
          <w:numId w:val="2"/>
        </w:numPr>
        <w:spacing w:after="80" w:line="264"/>
      </w:pPr>
      <w:r>
        <w:rPr>
          <w:rFonts w:ascii="Calibri" w:cs="Calibri" w:eastAsia="Calibri" w:hAnsi="Calibri"/>
          <w:sz w:val="22"/>
          <w:szCs w:val="22"/>
        </w:rPr>
        <w:t xml:space="preserve">Infrastructure Provisioning — modular Terraform across dev and prod, validated against real AWS APIs via plan</w:t>
      </w:r>
    </w:p>
    <w:p>
      <w:pPr>
        <w:pStyle w:val="ListParagraph"/>
        <w:numPr>
          <w:ilvl w:val="0"/>
          <w:numId w:val="2"/>
        </w:numPr>
        <w:spacing w:after="80" w:line="264"/>
      </w:pPr>
      <w:r>
        <w:rPr>
          <w:rFonts w:ascii="Calibri" w:cs="Calibri" w:eastAsia="Calibri" w:hAnsi="Calibri"/>
          <w:sz w:val="22"/>
          <w:szCs w:val="22"/>
        </w:rPr>
        <w:t xml:space="preserve">Local Database Platform — a Docker Compose Postgres 16 stack with self-applying migrations and seed data</w:t>
      </w:r>
    </w:p>
    <w:p>
      <w:pPr>
        <w:pStyle w:val="ListParagraph"/>
        <w:numPr>
          <w:ilvl w:val="0"/>
          <w:numId w:val="2"/>
        </w:numPr>
        <w:spacing w:after="80" w:line="264"/>
      </w:pPr>
      <w:r>
        <w:rPr>
          <w:rFonts w:ascii="Calibri" w:cs="Calibri" w:eastAsia="Calibri" w:hAnsi="Calibri"/>
          <w:sz w:val="22"/>
          <w:szCs w:val="22"/>
        </w:rPr>
        <w:t xml:space="preserve">Query Reliability — an EXPLAIN ANALYZE–driven index design for a real aggregate query</w:t>
      </w:r>
    </w:p>
    <w:p>
      <w:pPr>
        <w:pStyle w:val="ListParagraph"/>
        <w:numPr>
          <w:ilvl w:val="0"/>
          <w:numId w:val="2"/>
        </w:numPr>
        <w:spacing w:after="80" w:line="264"/>
      </w:pPr>
      <w:r>
        <w:rPr>
          <w:rFonts w:ascii="Calibri" w:cs="Calibri" w:eastAsia="Calibri" w:hAnsi="Calibri"/>
          <w:sz w:val="22"/>
          <w:szCs w:val="22"/>
        </w:rPr>
        <w:t xml:space="preserve">Operational Resilience — backup and restore scripts with automated row-count verification</w:t>
      </w:r>
    </w:p>
    <w:p>
      <w:pPr>
        <w:pStyle w:val="Heading1"/>
        <w:pBdr>
          <w:bottom w:val="single" w:color="1F3864" w:sz="8" w:space="4"/>
        </w:pBdr>
        <w:spacing w:after="200" w:before="400"/>
      </w:pPr>
      <w:r>
        <w:rPr>
          <w:rFonts w:ascii="Calibri" w:cs="Calibri" w:eastAsia="Calibri" w:hAnsi="Calibri"/>
          <w:b/>
          <w:bCs/>
          <w:color w:val="1F3864"/>
          <w:sz w:val="30"/>
          <w:szCs w:val="30"/>
        </w:rPr>
        <w:t xml:space="preserve">5. Infrastructure Provisioning with Terraform</w:t>
      </w:r>
    </w:p>
    <w:p>
      <w:pPr>
        <w:pStyle w:val="Heading2"/>
        <w:spacing w:after="120" w:before="300"/>
      </w:pPr>
      <w:r>
        <w:rPr>
          <w:rFonts w:ascii="Calibri" w:cs="Calibri" w:eastAsia="Calibri" w:hAnsi="Calibri"/>
          <w:b/>
          <w:bCs/>
          <w:color w:val="2E74B5"/>
          <w:sz w:val="25"/>
          <w:szCs w:val="25"/>
        </w:rPr>
        <w:t xml:space="preserve">5.1 Module Structure</w:t>
      </w:r>
    </w:p>
    <w:p>
      <w:pPr>
        <w:pStyle w:val="ListParagraph"/>
        <w:numPr>
          <w:ilvl w:val="0"/>
          <w:numId w:val="2"/>
        </w:numPr>
        <w:spacing w:after="80" w:line="264"/>
      </w:pPr>
      <w:r>
        <w:rPr>
          <w:rFonts w:ascii="Calibri" w:cs="Calibri" w:eastAsia="Calibri" w:hAnsi="Calibri"/>
          <w:sz w:val="22"/>
          <w:szCs w:val="22"/>
        </w:rPr>
        <w:t xml:space="preserve">infra/modules/network — 1 VPC, 2 public + 2 private subnets across 2 AZs, 1 NAT gateway, and 3 purpose-scoped security groups (alb-sg, ecs-sg, rds-sg)</w:t>
      </w:r>
    </w:p>
    <w:p>
      <w:pPr>
        <w:pStyle w:val="ListParagraph"/>
        <w:numPr>
          <w:ilvl w:val="0"/>
          <w:numId w:val="2"/>
        </w:numPr>
        <w:spacing w:after="80" w:line="264"/>
      </w:pPr>
      <w:r>
        <w:rPr>
          <w:rFonts w:ascii="Calibri" w:cs="Calibri" w:eastAsia="Calibri" w:hAnsi="Calibri"/>
          <w:sz w:val="22"/>
          <w:szCs w:val="22"/>
        </w:rPr>
        <w:t xml:space="preserve">infra/modules/ecs — ALB, target group, HTTP listener, ECS cluster with Container Insights, Fargate task definition and service, task execution + task IAM roles</w:t>
      </w:r>
    </w:p>
    <w:p>
      <w:pPr>
        <w:pStyle w:val="ListParagraph"/>
        <w:numPr>
          <w:ilvl w:val="0"/>
          <w:numId w:val="2"/>
        </w:numPr>
        <w:spacing w:after="80" w:line="264"/>
      </w:pPr>
      <w:r>
        <w:rPr>
          <w:rFonts w:ascii="Calibri" w:cs="Calibri" w:eastAsia="Calibri" w:hAnsi="Calibri"/>
          <w:sz w:val="22"/>
          <w:szCs w:val="22"/>
        </w:rPr>
        <w:t xml:space="preserve">infra/modules/rds — private (non-publicly-accessible) Postgres instance, encrypted storage, subnet group scoped to private subnets only</w:t>
      </w:r>
    </w:p>
    <w:p>
      <w:pPr>
        <w:spacing w:after="160" w:line="276"/>
      </w:pPr>
      <w:r>
        <w:rPr>
          <w:rFonts w:ascii="Calibri" w:cs="Calibri" w:eastAsia="Calibri" w:hAnsi="Calibri"/>
          <w:sz w:val="22"/>
          <w:szCs w:val="22"/>
        </w:rPr>
        <w:t xml:space="preserve">Security is enforced at the network layer, not just by convention: the RDS security group only accepts traffic on port 5432 from the ECS security group, and the ECS security group only accepts traffic from the ALB security group — the database has no path to or from the public internet.</w:t>
      </w:r>
    </w:p>
    <w:p>
      <w:pPr>
        <w:pStyle w:val="Heading2"/>
        <w:spacing w:after="120" w:before="300"/>
      </w:pPr>
      <w:r>
        <w:rPr>
          <w:rFonts w:ascii="Calibri" w:cs="Calibri" w:eastAsia="Calibri" w:hAnsi="Calibri"/>
          <w:b/>
          <w:bCs/>
          <w:color w:val="2E74B5"/>
          <w:sz w:val="25"/>
          <w:szCs w:val="25"/>
        </w:rPr>
        <w:t xml:space="preserve">5.2 Environment Differentiation</w:t>
      </w:r>
    </w:p>
    <w:p>
      <w:pPr>
        <w:spacing w:after="160" w:line="276"/>
      </w:pPr>
      <w:r>
        <w:rPr>
          <w:rFonts w:ascii="Calibri" w:cs="Calibri" w:eastAsia="Calibri" w:hAnsi="Calibri"/>
          <w:sz w:val="22"/>
          <w:szCs w:val="22"/>
        </w:rPr>
        <w:t xml:space="preserve">Both environments share identical module code; only the input variables differ, which is the entire point of the module/env split — no copy-pasted infrastructure logic between dev and prod.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3175"/>
        <w:gridCol w:w="3175"/>
      </w:tblGrid>
      <w:tr>
        <w:trPr>
          <w:tblHeader/>
        </w:trPr>
        <w:tc>
          <w:tcPr>
            <w:tcW w:type="dxa" w:w="30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Setting</w:t>
            </w:r>
          </w:p>
        </w:tc>
        <w:tc>
          <w:tcPr>
            <w:tcW w:type="dxa" w:w="3175"/>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dev</w:t>
            </w:r>
          </w:p>
        </w:tc>
        <w:tc>
          <w:tcPr>
            <w:tcW w:type="dxa" w:w="3175"/>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prod</w:t>
            </w:r>
          </w:p>
        </w:tc>
      </w:tr>
      <w:tr>
        <w:tc>
          <w:tcPr>
            <w:tcW w:type="dxa" w:w="3000"/>
            <w:tcMar>
              <w:top w:type="dxa" w:w="100"/>
              <w:left w:type="dxa" w:w="120"/>
              <w:bottom w:type="dxa" w:w="100"/>
              <w:right w:type="dxa" w:w="120"/>
            </w:tcMar>
          </w:tcPr>
          <w:p>
            <w:r>
              <w:rPr>
                <w:rFonts w:ascii="Calibri" w:cs="Calibri" w:eastAsia="Calibri" w:hAnsi="Calibri"/>
                <w:b w:val="false"/>
                <w:bCs w:val="false"/>
                <w:color w:val="1A1A1A"/>
                <w:sz w:val="20"/>
                <w:szCs w:val="20"/>
              </w:rPr>
              <w:t xml:space="preserve">RDS instance class</w:t>
            </w:r>
          </w:p>
        </w:tc>
        <w:tc>
          <w:tcPr>
            <w:tcW w:type="dxa" w:w="3175"/>
            <w:tcMar>
              <w:top w:type="dxa" w:w="100"/>
              <w:left w:type="dxa" w:w="120"/>
              <w:bottom w:type="dxa" w:w="100"/>
              <w:right w:type="dxa" w:w="120"/>
            </w:tcMar>
          </w:tcPr>
          <w:p>
            <w:r>
              <w:rPr>
                <w:rFonts w:ascii="Calibri" w:cs="Calibri" w:eastAsia="Calibri" w:hAnsi="Calibri"/>
                <w:b w:val="false"/>
                <w:bCs w:val="false"/>
                <w:color w:val="1A1A1A"/>
                <w:sz w:val="20"/>
                <w:szCs w:val="20"/>
              </w:rPr>
              <w:t xml:space="preserve">db.t4g.micro</w:t>
            </w:r>
          </w:p>
        </w:tc>
        <w:tc>
          <w:tcPr>
            <w:tcW w:type="dxa" w:w="3175"/>
            <w:tcMar>
              <w:top w:type="dxa" w:w="100"/>
              <w:left w:type="dxa" w:w="120"/>
              <w:bottom w:type="dxa" w:w="100"/>
              <w:right w:type="dxa" w:w="120"/>
            </w:tcMar>
          </w:tcPr>
          <w:p>
            <w:r>
              <w:rPr>
                <w:rFonts w:ascii="Calibri" w:cs="Calibri" w:eastAsia="Calibri" w:hAnsi="Calibri"/>
                <w:b w:val="false"/>
                <w:bCs w:val="false"/>
                <w:color w:val="1A1A1A"/>
                <w:sz w:val="20"/>
                <w:szCs w:val="20"/>
              </w:rPr>
              <w:t xml:space="preserve">db.r6g.large</w:t>
            </w:r>
          </w:p>
        </w:tc>
      </w:tr>
      <w:tr>
        <w:tc>
          <w:tcPr>
            <w:tcW w:type="dxa" w:w="3000"/>
            <w:tcMar>
              <w:top w:type="dxa" w:w="100"/>
              <w:left w:type="dxa" w:w="120"/>
              <w:bottom w:type="dxa" w:w="100"/>
              <w:right w:type="dxa" w:w="120"/>
            </w:tcMar>
          </w:tcPr>
          <w:p>
            <w:r>
              <w:rPr>
                <w:rFonts w:ascii="Calibri" w:cs="Calibri" w:eastAsia="Calibri" w:hAnsi="Calibri"/>
                <w:b w:val="false"/>
                <w:bCs w:val="false"/>
                <w:color w:val="1A1A1A"/>
                <w:sz w:val="20"/>
                <w:szCs w:val="20"/>
              </w:rPr>
              <w:t xml:space="preserve">RDS backup retention</w:t>
            </w:r>
          </w:p>
        </w:tc>
        <w:tc>
          <w:tcPr>
            <w:tcW w:type="dxa" w:w="3175"/>
            <w:tcMar>
              <w:top w:type="dxa" w:w="100"/>
              <w:left w:type="dxa" w:w="120"/>
              <w:bottom w:type="dxa" w:w="100"/>
              <w:right w:type="dxa" w:w="120"/>
            </w:tcMar>
          </w:tcPr>
          <w:p>
            <w:r>
              <w:rPr>
                <w:rFonts w:ascii="Calibri" w:cs="Calibri" w:eastAsia="Calibri" w:hAnsi="Calibri"/>
                <w:b w:val="false"/>
                <w:bCs w:val="false"/>
                <w:color w:val="1A1A1A"/>
                <w:sz w:val="20"/>
                <w:szCs w:val="20"/>
              </w:rPr>
              <w:t xml:space="preserve">1 day</w:t>
            </w:r>
          </w:p>
        </w:tc>
        <w:tc>
          <w:tcPr>
            <w:tcW w:type="dxa" w:w="3175"/>
            <w:tcMar>
              <w:top w:type="dxa" w:w="100"/>
              <w:left w:type="dxa" w:w="120"/>
              <w:bottom w:type="dxa" w:w="100"/>
              <w:right w:type="dxa" w:w="120"/>
            </w:tcMar>
          </w:tcPr>
          <w:p>
            <w:r>
              <w:rPr>
                <w:rFonts w:ascii="Calibri" w:cs="Calibri" w:eastAsia="Calibri" w:hAnsi="Calibri"/>
                <w:b w:val="false"/>
                <w:bCs w:val="false"/>
                <w:color w:val="1A1A1A"/>
                <w:sz w:val="20"/>
                <w:szCs w:val="20"/>
              </w:rPr>
              <w:t xml:space="preserve">30 days</w:t>
            </w:r>
          </w:p>
        </w:tc>
      </w:tr>
      <w:tr>
        <w:tc>
          <w:tcPr>
            <w:tcW w:type="dxa" w:w="3000"/>
            <w:tcMar>
              <w:top w:type="dxa" w:w="100"/>
              <w:left w:type="dxa" w:w="120"/>
              <w:bottom w:type="dxa" w:w="100"/>
              <w:right w:type="dxa" w:w="120"/>
            </w:tcMar>
          </w:tcPr>
          <w:p>
            <w:r>
              <w:rPr>
                <w:rFonts w:ascii="Calibri" w:cs="Calibri" w:eastAsia="Calibri" w:hAnsi="Calibri"/>
                <w:b w:val="false"/>
                <w:bCs w:val="false"/>
                <w:color w:val="1A1A1A"/>
                <w:sz w:val="20"/>
                <w:szCs w:val="20"/>
              </w:rPr>
              <w:t xml:space="preserve">RDS deletion protection</w:t>
            </w:r>
          </w:p>
        </w:tc>
        <w:tc>
          <w:tcPr>
            <w:tcW w:type="dxa" w:w="3175"/>
            <w:tcMar>
              <w:top w:type="dxa" w:w="100"/>
              <w:left w:type="dxa" w:w="120"/>
              <w:bottom w:type="dxa" w:w="100"/>
              <w:right w:type="dxa" w:w="120"/>
            </w:tcMar>
          </w:tcPr>
          <w:p>
            <w:r>
              <w:rPr>
                <w:rFonts w:ascii="Calibri" w:cs="Calibri" w:eastAsia="Calibri" w:hAnsi="Calibri"/>
                <w:b w:val="false"/>
                <w:bCs w:val="false"/>
                <w:color w:val="1A1A1A"/>
                <w:sz w:val="20"/>
                <w:szCs w:val="20"/>
              </w:rPr>
              <w:t xml:space="preserve">false</w:t>
            </w:r>
          </w:p>
        </w:tc>
        <w:tc>
          <w:tcPr>
            <w:tcW w:type="dxa" w:w="3175"/>
            <w:tcMar>
              <w:top w:type="dxa" w:w="100"/>
              <w:left w:type="dxa" w:w="120"/>
              <w:bottom w:type="dxa" w:w="100"/>
              <w:right w:type="dxa" w:w="120"/>
            </w:tcMar>
          </w:tcPr>
          <w:p>
            <w:r>
              <w:rPr>
                <w:rFonts w:ascii="Calibri" w:cs="Calibri" w:eastAsia="Calibri" w:hAnsi="Calibri"/>
                <w:b w:val="false"/>
                <w:bCs w:val="false"/>
                <w:color w:val="1A1A1A"/>
                <w:sz w:val="20"/>
                <w:szCs w:val="20"/>
              </w:rPr>
              <w:t xml:space="preserve">true</w:t>
            </w:r>
          </w:p>
        </w:tc>
      </w:tr>
      <w:tr>
        <w:tc>
          <w:tcPr>
            <w:tcW w:type="dxa" w:w="3000"/>
            <w:tcMar>
              <w:top w:type="dxa" w:w="100"/>
              <w:left w:type="dxa" w:w="120"/>
              <w:bottom w:type="dxa" w:w="100"/>
              <w:right w:type="dxa" w:w="120"/>
            </w:tcMar>
          </w:tcPr>
          <w:p>
            <w:r>
              <w:rPr>
                <w:rFonts w:ascii="Calibri" w:cs="Calibri" w:eastAsia="Calibri" w:hAnsi="Calibri"/>
                <w:b w:val="false"/>
                <w:bCs w:val="false"/>
                <w:color w:val="1A1A1A"/>
                <w:sz w:val="20"/>
                <w:szCs w:val="20"/>
              </w:rPr>
              <w:t xml:space="preserve">RDS Multi-AZ</w:t>
            </w:r>
          </w:p>
        </w:tc>
        <w:tc>
          <w:tcPr>
            <w:tcW w:type="dxa" w:w="3175"/>
            <w:tcMar>
              <w:top w:type="dxa" w:w="100"/>
              <w:left w:type="dxa" w:w="120"/>
              <w:bottom w:type="dxa" w:w="100"/>
              <w:right w:type="dxa" w:w="120"/>
            </w:tcMar>
          </w:tcPr>
          <w:p>
            <w:r>
              <w:rPr>
                <w:rFonts w:ascii="Calibri" w:cs="Calibri" w:eastAsia="Calibri" w:hAnsi="Calibri"/>
                <w:b w:val="false"/>
                <w:bCs w:val="false"/>
                <w:color w:val="1A1A1A"/>
                <w:sz w:val="20"/>
                <w:szCs w:val="20"/>
              </w:rPr>
              <w:t xml:space="preserve">false</w:t>
            </w:r>
          </w:p>
        </w:tc>
        <w:tc>
          <w:tcPr>
            <w:tcW w:type="dxa" w:w="3175"/>
            <w:tcMar>
              <w:top w:type="dxa" w:w="100"/>
              <w:left w:type="dxa" w:w="120"/>
              <w:bottom w:type="dxa" w:w="100"/>
              <w:right w:type="dxa" w:w="120"/>
            </w:tcMar>
          </w:tcPr>
          <w:p>
            <w:r>
              <w:rPr>
                <w:rFonts w:ascii="Calibri" w:cs="Calibri" w:eastAsia="Calibri" w:hAnsi="Calibri"/>
                <w:b w:val="false"/>
                <w:bCs w:val="false"/>
                <w:color w:val="1A1A1A"/>
                <w:sz w:val="20"/>
                <w:szCs w:val="20"/>
              </w:rPr>
              <w:t xml:space="preserve">true</w:t>
            </w:r>
          </w:p>
        </w:tc>
      </w:tr>
      <w:tr>
        <w:tc>
          <w:tcPr>
            <w:tcW w:type="dxa" w:w="3000"/>
            <w:tcMar>
              <w:top w:type="dxa" w:w="100"/>
              <w:left w:type="dxa" w:w="120"/>
              <w:bottom w:type="dxa" w:w="100"/>
              <w:right w:type="dxa" w:w="120"/>
            </w:tcMar>
          </w:tcPr>
          <w:p>
            <w:r>
              <w:rPr>
                <w:rFonts w:ascii="Calibri" w:cs="Calibri" w:eastAsia="Calibri" w:hAnsi="Calibri"/>
                <w:b w:val="false"/>
                <w:bCs w:val="false"/>
                <w:color w:val="1A1A1A"/>
                <w:sz w:val="20"/>
                <w:szCs w:val="20"/>
              </w:rPr>
              <w:t xml:space="preserve">ECS task size (cpu / mem)</w:t>
            </w:r>
          </w:p>
        </w:tc>
        <w:tc>
          <w:tcPr>
            <w:tcW w:type="dxa" w:w="3175"/>
            <w:tcMar>
              <w:top w:type="dxa" w:w="100"/>
              <w:left w:type="dxa" w:w="120"/>
              <w:bottom w:type="dxa" w:w="100"/>
              <w:right w:type="dxa" w:w="120"/>
            </w:tcMar>
          </w:tcPr>
          <w:p>
            <w:r>
              <w:rPr>
                <w:rFonts w:ascii="Calibri" w:cs="Calibri" w:eastAsia="Calibri" w:hAnsi="Calibri"/>
                <w:b w:val="false"/>
                <w:bCs w:val="false"/>
                <w:color w:val="1A1A1A"/>
                <w:sz w:val="20"/>
                <w:szCs w:val="20"/>
              </w:rPr>
              <w:t xml:space="preserve">256 / 512</w:t>
            </w:r>
          </w:p>
        </w:tc>
        <w:tc>
          <w:tcPr>
            <w:tcW w:type="dxa" w:w="3175"/>
            <w:tcMar>
              <w:top w:type="dxa" w:w="100"/>
              <w:left w:type="dxa" w:w="120"/>
              <w:bottom w:type="dxa" w:w="100"/>
              <w:right w:type="dxa" w:w="120"/>
            </w:tcMar>
          </w:tcPr>
          <w:p>
            <w:r>
              <w:rPr>
                <w:rFonts w:ascii="Calibri" w:cs="Calibri" w:eastAsia="Calibri" w:hAnsi="Calibri"/>
                <w:b w:val="false"/>
                <w:bCs w:val="false"/>
                <w:color w:val="1A1A1A"/>
                <w:sz w:val="20"/>
                <w:szCs w:val="20"/>
              </w:rPr>
              <w:t xml:space="preserve">1024 / 2048</w:t>
            </w:r>
          </w:p>
        </w:tc>
      </w:tr>
      <w:tr>
        <w:tc>
          <w:tcPr>
            <w:tcW w:type="dxa" w:w="3000"/>
            <w:tcMar>
              <w:top w:type="dxa" w:w="100"/>
              <w:left w:type="dxa" w:w="120"/>
              <w:bottom w:type="dxa" w:w="100"/>
              <w:right w:type="dxa" w:w="120"/>
            </w:tcMar>
          </w:tcPr>
          <w:p>
            <w:r>
              <w:rPr>
                <w:rFonts w:ascii="Calibri" w:cs="Calibri" w:eastAsia="Calibri" w:hAnsi="Calibri"/>
                <w:b w:val="false"/>
                <w:bCs w:val="false"/>
                <w:color w:val="1A1A1A"/>
                <w:sz w:val="20"/>
                <w:szCs w:val="20"/>
              </w:rPr>
              <w:t xml:space="preserve">ECS desired count</w:t>
            </w:r>
          </w:p>
        </w:tc>
        <w:tc>
          <w:tcPr>
            <w:tcW w:type="dxa" w:w="3175"/>
            <w:tcMar>
              <w:top w:type="dxa" w:w="100"/>
              <w:left w:type="dxa" w:w="120"/>
              <w:bottom w:type="dxa" w:w="100"/>
              <w:right w:type="dxa" w:w="120"/>
            </w:tcMar>
          </w:tcPr>
          <w:p>
            <w:r>
              <w:rPr>
                <w:rFonts w:ascii="Calibri" w:cs="Calibri" w:eastAsia="Calibri" w:hAnsi="Calibri"/>
                <w:b w:val="false"/>
                <w:bCs w:val="false"/>
                <w:color w:val="1A1A1A"/>
                <w:sz w:val="20"/>
                <w:szCs w:val="20"/>
              </w:rPr>
              <w:t xml:space="preserve">1</w:t>
            </w:r>
          </w:p>
        </w:tc>
        <w:tc>
          <w:tcPr>
            <w:tcW w:type="dxa" w:w="3175"/>
            <w:tcMar>
              <w:top w:type="dxa" w:w="100"/>
              <w:left w:type="dxa" w:w="120"/>
              <w:bottom w:type="dxa" w:w="100"/>
              <w:right w:type="dxa" w:w="120"/>
            </w:tcMar>
          </w:tcPr>
          <w:p>
            <w:r>
              <w:rPr>
                <w:rFonts w:ascii="Calibri" w:cs="Calibri" w:eastAsia="Calibri" w:hAnsi="Calibri"/>
                <w:b w:val="false"/>
                <w:bCs w:val="false"/>
                <w:color w:val="1A1A1A"/>
                <w:sz w:val="20"/>
                <w:szCs w:val="20"/>
              </w:rPr>
              <w:t xml:space="preserve">2</w:t>
            </w:r>
          </w:p>
        </w:tc>
      </w:tr>
      <w:tr>
        <w:tc>
          <w:tcPr>
            <w:tcW w:type="dxa" w:w="3000"/>
            <w:tcMar>
              <w:top w:type="dxa" w:w="100"/>
              <w:left w:type="dxa" w:w="120"/>
              <w:bottom w:type="dxa" w:w="100"/>
              <w:right w:type="dxa" w:w="120"/>
            </w:tcMar>
          </w:tcPr>
          <w:p>
            <w:r>
              <w:rPr>
                <w:rFonts w:ascii="Calibri" w:cs="Calibri" w:eastAsia="Calibri" w:hAnsi="Calibri"/>
                <w:b w:val="false"/>
                <w:bCs w:val="false"/>
                <w:color w:val="1A1A1A"/>
                <w:sz w:val="20"/>
                <w:szCs w:val="20"/>
              </w:rPr>
              <w:t xml:space="preserve">VPC CIDR</w:t>
            </w:r>
          </w:p>
        </w:tc>
        <w:tc>
          <w:tcPr>
            <w:tcW w:type="dxa" w:w="3175"/>
            <w:tcMar>
              <w:top w:type="dxa" w:w="100"/>
              <w:left w:type="dxa" w:w="120"/>
              <w:bottom w:type="dxa" w:w="100"/>
              <w:right w:type="dxa" w:w="120"/>
            </w:tcMar>
          </w:tcPr>
          <w:p>
            <w:r>
              <w:rPr>
                <w:rFonts w:ascii="Calibri" w:cs="Calibri" w:eastAsia="Calibri" w:hAnsi="Calibri"/>
                <w:b w:val="false"/>
                <w:bCs w:val="false"/>
                <w:color w:val="1A1A1A"/>
                <w:sz w:val="20"/>
                <w:szCs w:val="20"/>
              </w:rPr>
              <w:t xml:space="preserve">10.10.0.0/16</w:t>
            </w:r>
          </w:p>
        </w:tc>
        <w:tc>
          <w:tcPr>
            <w:tcW w:type="dxa" w:w="3175"/>
            <w:tcMar>
              <w:top w:type="dxa" w:w="100"/>
              <w:left w:type="dxa" w:w="120"/>
              <w:bottom w:type="dxa" w:w="100"/>
              <w:right w:type="dxa" w:w="120"/>
            </w:tcMar>
          </w:tcPr>
          <w:p>
            <w:r>
              <w:rPr>
                <w:rFonts w:ascii="Calibri" w:cs="Calibri" w:eastAsia="Calibri" w:hAnsi="Calibri"/>
                <w:b w:val="false"/>
                <w:bCs w:val="false"/>
                <w:color w:val="1A1A1A"/>
                <w:sz w:val="20"/>
                <w:szCs w:val="20"/>
              </w:rPr>
              <w:t xml:space="preserve">10.20.0.0/16</w:t>
            </w:r>
          </w:p>
        </w:tc>
      </w:tr>
    </w:tbl>
    <w:p>
      <w:pPr>
        <w:pStyle w:val="Heading2"/>
        <w:spacing w:after="120" w:before="300"/>
      </w:pPr>
      <w:r>
        <w:rPr>
          <w:rFonts w:ascii="Calibri" w:cs="Calibri" w:eastAsia="Calibri" w:hAnsi="Calibri"/>
          <w:b/>
          <w:bCs/>
          <w:color w:val="2E74B5"/>
          <w:sz w:val="25"/>
          <w:szCs w:val="25"/>
        </w:rPr>
        <w:t xml:space="preserve">5.3 Validation Performed</w:t>
      </w:r>
    </w:p>
    <w:p>
      <w:pPr>
        <w:spacing w:after="160" w:line="276"/>
      </w:pPr>
      <w:r>
        <w:rPr>
          <w:rFonts w:ascii="Calibri" w:cs="Calibri" w:eastAsia="Calibri" w:hAnsi="Calibri"/>
          <w:sz w:val="22"/>
          <w:szCs w:val="22"/>
        </w:rPr>
        <w:t xml:space="preserve">Both environments were validated with the full local Terraform toolchain, without provisioning any real resources:</w:t>
      </w:r>
    </w:p>
    <w:p>
      <w:pPr>
        <w:shd w:fill="F2F2F2" w:val="clear"/>
        <w:spacing w:after="0" w:line="240"/>
      </w:pPr>
      <w:r>
        <w:rPr>
          <w:rFonts w:ascii="Consolas" w:cs="Consolas" w:eastAsia="Consolas" w:hAnsi="Consolas"/>
          <w:color w:val="1A1A1A"/>
          <w:sz w:val="19"/>
          <w:szCs w:val="19"/>
        </w:rPr>
        <w:t xml:space="preserve">terraform fmt -check -recursive ../../</w:t>
      </w:r>
    </w:p>
    <w:p>
      <w:pPr>
        <w:shd w:fill="F2F2F2" w:val="clear"/>
        <w:spacing w:after="0" w:line="240"/>
      </w:pPr>
      <w:r>
        <w:rPr>
          <w:rFonts w:ascii="Consolas" w:cs="Consolas" w:eastAsia="Consolas" w:hAnsi="Consolas"/>
          <w:color w:val="1A1A1A"/>
          <w:sz w:val="19"/>
          <w:szCs w:val="19"/>
        </w:rPr>
        <w:t xml:space="preserve">terraform init -reconfigure</w:t>
      </w:r>
    </w:p>
    <w:p>
      <w:pPr>
        <w:shd w:fill="F2F2F2" w:val="clear"/>
        <w:spacing w:after="0" w:line="240"/>
      </w:pPr>
      <w:r>
        <w:rPr>
          <w:rFonts w:ascii="Consolas" w:cs="Consolas" w:eastAsia="Consolas" w:hAnsi="Consolas"/>
          <w:color w:val="1A1A1A"/>
          <w:sz w:val="19"/>
          <w:szCs w:val="19"/>
        </w:rPr>
        <w:t xml:space="preserve">terraform validate</w:t>
      </w:r>
    </w:p>
    <w:p>
      <w:pPr>
        <w:shd w:fill="F2F2F2" w:val="clear"/>
        <w:spacing w:after="0" w:line="240"/>
      </w:pPr>
      <w:r>
        <w:rPr>
          <w:rFonts w:ascii="Consolas" w:cs="Consolas" w:eastAsia="Consolas" w:hAnsi="Consolas"/>
          <w:color w:val="1A1A1A"/>
          <w:sz w:val="19"/>
          <w:szCs w:val="19"/>
        </w:rPr>
        <w:t xml:space="preserve">terraform plan -refresh=false -var-file=dev.tfvars   # and prod.tfvars</w:t>
      </w:r>
    </w:p>
    <w:p>
      <w:pPr>
        <w:spacing w:after="160" w:line="276"/>
      </w:pPr>
      <w:r>
        <w:rPr>
          <w:rFonts w:ascii="Calibri" w:cs="Calibri" w:eastAsia="Calibri" w:hAnsi="Calibri"/>
          <w:sz w:val="22"/>
          <w:szCs w:val="22"/>
        </w:rPr>
        <w:t xml:space="preserve">Both dev and prod produced a complete, error-free plan against live AWS APIs (29 resources to add, 0 to change, 0 to destroy, in each environment), confirming the configuration is not just syntactically valid but semantically correct — the plan correctly resolved availability zones, IAM assume-role policies, and cross-module references (e.g. RDS security group ID flowing from the network module into the RDS module). No apply was run against either environment, keeping the exercise cost-safe per the assignment's “actual deployment is not required” instruction.</w:t>
      </w:r>
    </w:p>
    <w:p>
      <w:pPr>
        <w:pStyle w:val="Heading2"/>
        <w:spacing w:after="120" w:before="300"/>
      </w:pPr>
      <w:r>
        <w:rPr>
          <w:rFonts w:ascii="Calibri" w:cs="Calibri" w:eastAsia="Calibri" w:hAnsi="Calibri"/>
          <w:b/>
          <w:bCs/>
          <w:color w:val="2E74B5"/>
          <w:sz w:val="25"/>
          <w:szCs w:val="25"/>
        </w:rPr>
        <w:t xml:space="preserve">5.4 Optional: GitHub Actions for Terraform</w:t>
      </w:r>
    </w:p>
    <w:p>
      <w:pPr>
        <w:spacing w:after="160" w:line="276"/>
      </w:pPr>
      <w:r>
        <w:rPr>
          <w:rFonts w:ascii="Calibri" w:cs="Calibri" w:eastAsia="Calibri" w:hAnsi="Calibri"/>
          <w:sz w:val="22"/>
          <w:szCs w:val="22"/>
        </w:rPr>
        <w:t xml:space="preserve">A workflow at .github/workflows/terraform.yml runs on every pull request touching infra/**, as a matrix across dev and prod: fmt → init → validate → plan, with the plan output both uploaded as a workflow artifact and posted as a PR comment for reviewer visibility.</w:t>
      </w:r>
    </w:p>
    <w:p>
      <w:pPr>
        <w:pStyle w:val="Heading1"/>
        <w:pBdr>
          <w:bottom w:val="single" w:color="1F3864" w:sz="8" w:space="4"/>
        </w:pBdr>
        <w:spacing w:after="200" w:before="400"/>
      </w:pPr>
      <w:r>
        <w:rPr>
          <w:rFonts w:ascii="Calibri" w:cs="Calibri" w:eastAsia="Calibri" w:hAnsi="Calibri"/>
          <w:b/>
          <w:bCs/>
          <w:color w:val="1F3864"/>
          <w:sz w:val="30"/>
          <w:szCs w:val="30"/>
        </w:rPr>
        <w:t xml:space="preserve">6. Local Database Platform</w:t>
      </w:r>
    </w:p>
    <w:p>
      <w:pPr>
        <w:pStyle w:val="Heading2"/>
        <w:spacing w:after="120" w:before="300"/>
      </w:pPr>
      <w:r>
        <w:rPr>
          <w:rFonts w:ascii="Calibri" w:cs="Calibri" w:eastAsia="Calibri" w:hAnsi="Calibri"/>
          <w:b/>
          <w:bCs/>
          <w:color w:val="2E74B5"/>
          <w:sz w:val="25"/>
          <w:szCs w:val="25"/>
        </w:rPr>
        <w:t xml:space="preserve">6.1 Why Docker Compose</w:t>
      </w:r>
    </w:p>
    <w:p>
      <w:pPr>
        <w:spacing w:after="160" w:line="276"/>
      </w:pPr>
      <w:r>
        <w:rPr>
          <w:rFonts w:ascii="Calibri" w:cs="Calibri" w:eastAsia="Calibri" w:hAnsi="Calibri"/>
          <w:sz w:val="22"/>
          <w:szCs w:val="22"/>
        </w:rPr>
        <w:t xml:space="preserve">The assignment's database tasks are meant to be runnable without any AWS access, so the database layer is fully containerized: docker compose up brings up Postgres 16 and self-initializes.</w:t>
      </w:r>
    </w:p>
    <w:p>
      <w:pPr>
        <w:pStyle w:val="Heading2"/>
        <w:spacing w:after="120" w:before="300"/>
      </w:pPr>
      <w:r>
        <w:rPr>
          <w:rFonts w:ascii="Calibri" w:cs="Calibri" w:eastAsia="Calibri" w:hAnsi="Calibri"/>
          <w:b/>
          <w:bCs/>
          <w:color w:val="2E74B5"/>
          <w:sz w:val="25"/>
          <w:szCs w:val="25"/>
        </w:rPr>
        <w:t xml:space="preserve">6.2 Schema</w:t>
      </w:r>
    </w:p>
    <w:p>
      <w:pPr>
        <w:pStyle w:val="ListParagraph"/>
        <w:numPr>
          <w:ilvl w:val="0"/>
          <w:numId w:val="2"/>
        </w:numPr>
        <w:spacing w:after="80" w:line="264"/>
      </w:pPr>
      <w:r>
        <w:rPr>
          <w:rFonts w:ascii="Calibri" w:cs="Calibri" w:eastAsia="Calibri" w:hAnsi="Calibri"/>
          <w:sz w:val="22"/>
          <w:szCs w:val="22"/>
        </w:rPr>
        <w:t xml:space="preserve">hotel_bookings — one row per booking: org_id, hotel_id, city, checkin/checkout dates, amount, status, created_at</w:t>
      </w:r>
    </w:p>
    <w:p>
      <w:pPr>
        <w:pStyle w:val="ListParagraph"/>
        <w:numPr>
          <w:ilvl w:val="0"/>
          <w:numId w:val="2"/>
        </w:numPr>
        <w:spacing w:after="80" w:line="264"/>
      </w:pPr>
      <w:r>
        <w:rPr>
          <w:rFonts w:ascii="Calibri" w:cs="Calibri" w:eastAsia="Calibri" w:hAnsi="Calibri"/>
          <w:sz w:val="22"/>
          <w:szCs w:val="22"/>
        </w:rPr>
        <w:t xml:space="preserve">booking_events — append-only event log per booking, foreign-keyed to hotel_bookings.id, with a JSONB payload column</w:t>
      </w:r>
    </w:p>
    <w:p>
      <w:pPr>
        <w:pStyle w:val="Heading2"/>
        <w:spacing w:after="120" w:before="300"/>
      </w:pPr>
      <w:r>
        <w:rPr>
          <w:rFonts w:ascii="Calibri" w:cs="Calibri" w:eastAsia="Calibri" w:hAnsi="Calibri"/>
          <w:b/>
          <w:bCs/>
          <w:color w:val="2E74B5"/>
          <w:sz w:val="25"/>
          <w:szCs w:val="25"/>
        </w:rPr>
        <w:t xml:space="preserve">6.3 Seed Data</w:t>
      </w:r>
    </w:p>
    <w:p>
      <w:pPr>
        <w:spacing w:after="160" w:line="276"/>
      </w:pPr>
      <w:r>
        <w:rPr>
          <w:rFonts w:ascii="Calibri" w:cs="Calibri" w:eastAsia="Calibri" w:hAnsi="Calibri"/>
          <w:sz w:val="22"/>
          <w:szCs w:val="22"/>
        </w:rPr>
        <w:t xml:space="preserve">seed/generate_seed.py deterministically generates 120 bookings spread across 5 cities, 4 organizations, and 4 statuses over a 90-day window, plus roughly 130 associated booking events — enough variety that the target query's filters return a realistic subset rather than “all rows” or “no rows.”</w:t>
      </w:r>
    </w:p>
    <w:p>
      <w:pPr>
        <w:pStyle w:val="Heading1"/>
        <w:pBdr>
          <w:bottom w:val="single" w:color="1F3864" w:sz="8" w:space="4"/>
        </w:pBdr>
        <w:spacing w:after="200" w:before="400"/>
      </w:pPr>
      <w:r>
        <w:rPr>
          <w:rFonts w:ascii="Calibri" w:cs="Calibri" w:eastAsia="Calibri" w:hAnsi="Calibri"/>
          <w:b/>
          <w:bCs/>
          <w:color w:val="1F3864"/>
          <w:sz w:val="30"/>
          <w:szCs w:val="30"/>
        </w:rPr>
        <w:t xml:space="preserve">7. Query Optimization</w:t>
      </w:r>
    </w:p>
    <w:p>
      <w:pPr>
        <w:spacing w:after="160" w:line="276"/>
      </w:pPr>
      <w:r>
        <w:rPr>
          <w:rFonts w:ascii="Calibri" w:cs="Calibri" w:eastAsia="Calibri" w:hAnsi="Calibri"/>
          <w:sz w:val="22"/>
          <w:szCs w:val="22"/>
        </w:rPr>
        <w:t xml:space="preserve">The assignment's target query aggregates bookings by organization and status, filtered to a single city within the last 30 days:</w:t>
      </w:r>
    </w:p>
    <w:p>
      <w:pPr>
        <w:shd w:fill="F2F2F2" w:val="clear"/>
        <w:spacing w:after="0" w:line="240"/>
      </w:pPr>
      <w:r>
        <w:rPr>
          <w:rFonts w:ascii="Consolas" w:cs="Consolas" w:eastAsia="Consolas" w:hAnsi="Consolas"/>
          <w:color w:val="1A1A1A"/>
          <w:sz w:val="19"/>
          <w:szCs w:val="19"/>
        </w:rPr>
        <w:t xml:space="preserve">SELECT org_id, status, COUNT(*), SUM(amount)</w:t>
      </w:r>
    </w:p>
    <w:p>
      <w:pPr>
        <w:shd w:fill="F2F2F2" w:val="clear"/>
        <w:spacing w:after="0" w:line="240"/>
      </w:pPr>
      <w:r>
        <w:rPr>
          <w:rFonts w:ascii="Consolas" w:cs="Consolas" w:eastAsia="Consolas" w:hAnsi="Consolas"/>
          <w:color w:val="1A1A1A"/>
          <w:sz w:val="19"/>
          <w:szCs w:val="19"/>
        </w:rPr>
        <w:t xml:space="preserve">FROM hotel_bookings</w:t>
      </w:r>
    </w:p>
    <w:p>
      <w:pPr>
        <w:shd w:fill="F2F2F2" w:val="clear"/>
        <w:spacing w:after="0" w:line="240"/>
      </w:pPr>
      <w:r>
        <w:rPr>
          <w:rFonts w:ascii="Consolas" w:cs="Consolas" w:eastAsia="Consolas" w:hAnsi="Consolas"/>
          <w:color w:val="1A1A1A"/>
          <w:sz w:val="19"/>
          <w:szCs w:val="19"/>
        </w:rPr>
        <w:t xml:space="preserve">WHERE city = 'delhi'</w:t>
      </w:r>
    </w:p>
    <w:p>
      <w:pPr>
        <w:shd w:fill="F2F2F2" w:val="clear"/>
        <w:spacing w:after="0" w:line="240"/>
      </w:pPr>
      <w:r>
        <w:rPr>
          <w:rFonts w:ascii="Consolas" w:cs="Consolas" w:eastAsia="Consolas" w:hAnsi="Consolas"/>
          <w:color w:val="1A1A1A"/>
          <w:sz w:val="19"/>
          <w:szCs w:val="19"/>
        </w:rPr>
        <w:t xml:space="preserve">  AND created_at &gt;= NOW() - INTERVAL '30 days'</w:t>
      </w:r>
    </w:p>
    <w:p>
      <w:pPr>
        <w:shd w:fill="F2F2F2" w:val="clear"/>
        <w:spacing w:after="0" w:line="240"/>
      </w:pPr>
      <w:r>
        <w:rPr>
          <w:rFonts w:ascii="Consolas" w:cs="Consolas" w:eastAsia="Consolas" w:hAnsi="Consolas"/>
          <w:color w:val="1A1A1A"/>
          <w:sz w:val="19"/>
          <w:szCs w:val="19"/>
        </w:rPr>
        <w:t xml:space="preserve">GROUP BY org_id, status;</w:t>
      </w:r>
    </w:p>
    <w:p>
      <w:pPr>
        <w:spacing w:after="160" w:line="276"/>
      </w:pPr>
      <w:r>
        <w:rPr>
          <w:rFonts w:ascii="Calibri" w:cs="Calibri" w:eastAsia="Calibri" w:hAnsi="Calibri"/>
          <w:sz w:val="22"/>
          <w:szCs w:val="22"/>
        </w:rPr>
        <w:t xml:space="preserve">The index added to resolve this:</w:t>
      </w:r>
    </w:p>
    <w:p>
      <w:pPr>
        <w:shd w:fill="F2F2F2" w:val="clear"/>
        <w:spacing w:after="0" w:line="240"/>
      </w:pPr>
      <w:r>
        <w:rPr>
          <w:rFonts w:ascii="Consolas" w:cs="Consolas" w:eastAsia="Consolas" w:hAnsi="Consolas"/>
          <w:color w:val="1A1A1A"/>
          <w:sz w:val="19"/>
          <w:szCs w:val="19"/>
        </w:rPr>
        <w:t xml:space="preserve">CREATE INDEX idx_hotel_bookings_city_created_at</w:t>
      </w:r>
    </w:p>
    <w:p>
      <w:pPr>
        <w:shd w:fill="F2F2F2" w:val="clear"/>
        <w:spacing w:after="0" w:line="240"/>
      </w:pPr>
      <w:r>
        <w:rPr>
          <w:rFonts w:ascii="Consolas" w:cs="Consolas" w:eastAsia="Consolas" w:hAnsi="Consolas"/>
          <w:color w:val="1A1A1A"/>
          <w:sz w:val="19"/>
          <w:szCs w:val="19"/>
        </w:rPr>
        <w:t xml:space="preserve">    ON hotel_bookings (city, created_at)</w:t>
      </w:r>
    </w:p>
    <w:p>
      <w:pPr>
        <w:shd w:fill="F2F2F2" w:val="clear"/>
        <w:spacing w:after="0" w:line="240"/>
      </w:pPr>
      <w:r>
        <w:rPr>
          <w:rFonts w:ascii="Consolas" w:cs="Consolas" w:eastAsia="Consolas" w:hAnsi="Consolas"/>
          <w:color w:val="1A1A1A"/>
          <w:sz w:val="19"/>
          <w:szCs w:val="19"/>
        </w:rPr>
        <w:t xml:space="preserve">    INCLUDE (org_id, status, amount);</w:t>
      </w:r>
    </w:p>
    <w:p>
      <w:pPr>
        <w:spacing w:after="160" w:line="276"/>
      </w:pPr>
      <w:r>
        <w:rPr>
          <w:rFonts w:ascii="Calibri" w:cs="Calibri" w:eastAsia="Calibri" w:hAnsi="Calibri"/>
          <w:sz w:val="22"/>
          <w:szCs w:val="22"/>
        </w:rPr>
        <w:t xml:space="preserve">city and created_at are the key (sorted) columns — equality filter first, range filter second — while org_id, status, and amount are added as INCLUDE columns since the query only reads them, never filters on them. This keeps the B-tree lean while still allowing Postgres to answer the query entirely from the index (an index-only scan), avoiding a heap fetch per matching row.</w:t>
      </w:r>
    </w:p>
    <w:p>
      <w:pPr>
        <w:spacing w:after="160" w:line="276"/>
      </w:pPr>
      <w:r>
        <w:rPr>
          <w:rFonts w:ascii="Calibri" w:cs="Calibri" w:eastAsia="Calibri" w:hAnsi="Calibri"/>
          <w:sz w:val="22"/>
          <w:szCs w:val="22"/>
        </w:rPr>
        <w:t xml:space="preserve">This was proven, not just asserted. On the 120-row seed table, Postgres's planner correctly chose a Seq Scan — the table is small enough that scanning it directly is genuinely cheaper than using an index, which is expected planner behavior, not a defect. Disabling sequential scans for a single diagnostic session (SET enable_seqscan = off;) confirmed the index is valid and selected when the planner is forced toward it, producing a Bitmap Index Scan using idx_hotel_bookings_city_created_at with the exact filter conditions in the Index Cond. At production data volumes, the planner would select this index automatically without any manual intervention.</w:t>
      </w:r>
    </w:p>
    <w:p>
      <w:pPr>
        <w:pStyle w:val="Heading1"/>
        <w:pBdr>
          <w:bottom w:val="single" w:color="1F3864" w:sz="8" w:space="4"/>
        </w:pBdr>
        <w:spacing w:after="200" w:before="400"/>
      </w:pPr>
      <w:r>
        <w:rPr>
          <w:rFonts w:ascii="Calibri" w:cs="Calibri" w:eastAsia="Calibri" w:hAnsi="Calibri"/>
          <w:b/>
          <w:bCs/>
          <w:color w:val="1F3864"/>
          <w:sz w:val="30"/>
          <w:szCs w:val="30"/>
        </w:rPr>
        <w:t xml:space="preserve">8. Backup and Restore</w:t>
      </w:r>
    </w:p>
    <w:p>
      <w:pPr>
        <w:spacing w:after="160" w:line="276"/>
      </w:pPr>
      <w:r>
        <w:rPr>
          <w:rFonts w:ascii="Calibri" w:cs="Calibri" w:eastAsia="Calibri" w:hAnsi="Calibri"/>
          <w:sz w:val="22"/>
          <w:szCs w:val="22"/>
        </w:rPr>
        <w:t xml:space="preserve">scripts/backup.sh produces a timestamped, custom-format pg_dump and maintains a backups/latest.dump symlink. scripts/restore.sh always drops and recreates a separate target database (hotelapp_restore by default) before restoring into it, so restore correctness is never dependent on any pre-existing state, and prints row counts for both tables immediately after restoring as a built-in verification step.</w:t>
      </w:r>
    </w:p>
    <w:p>
      <w:pPr>
        <w:pStyle w:val="Heading2"/>
        <w:spacing w:after="120" w:before="300"/>
      </w:pPr>
      <w:r>
        <w:rPr>
          <w:rFonts w:ascii="Calibri" w:cs="Calibri" w:eastAsia="Calibri" w:hAnsi="Calibri"/>
          <w:b/>
          <w:bCs/>
          <w:color w:val="2E74B5"/>
          <w:sz w:val="25"/>
          <w:szCs w:val="25"/>
        </w:rPr>
        <w:t xml:space="preserve">8.1 Verification Actually Performed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2337"/>
        <w:gridCol w:w="2337"/>
      </w:tblGrid>
      <w:tr>
        <w:trPr>
          <w:tblHeader/>
        </w:trPr>
        <w:tc>
          <w:tcPr>
            <w:tcW w:type="dxa" w:w="4675"/>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Table</w:t>
            </w:r>
          </w:p>
        </w:tc>
        <w:tc>
          <w:tcPr>
            <w:tcW w:type="dxa" w:w="2337"/>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Before backup</w:t>
            </w:r>
          </w:p>
        </w:tc>
        <w:tc>
          <w:tcPr>
            <w:tcW w:type="dxa" w:w="2337"/>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After restore</w:t>
            </w:r>
          </w:p>
        </w:tc>
      </w:tr>
      <w:tr>
        <w:tc>
          <w:tcPr>
            <w:tcW w:type="dxa" w:w="4675"/>
            <w:tcMar>
              <w:top w:type="dxa" w:w="100"/>
              <w:left w:type="dxa" w:w="120"/>
              <w:bottom w:type="dxa" w:w="100"/>
              <w:right w:type="dxa" w:w="120"/>
            </w:tcMar>
          </w:tcPr>
          <w:p>
            <w:r>
              <w:rPr>
                <w:rFonts w:ascii="Calibri" w:cs="Calibri" w:eastAsia="Calibri" w:hAnsi="Calibri"/>
                <w:b w:val="false"/>
                <w:bCs w:val="false"/>
                <w:color w:val="1A1A1A"/>
                <w:sz w:val="20"/>
                <w:szCs w:val="20"/>
              </w:rPr>
              <w:t xml:space="preserve">hotel_bookings</w:t>
            </w:r>
          </w:p>
        </w:tc>
        <w:tc>
          <w:tcPr>
            <w:tcW w:type="dxa" w:w="2337"/>
            <w:tcMar>
              <w:top w:type="dxa" w:w="100"/>
              <w:left w:type="dxa" w:w="120"/>
              <w:bottom w:type="dxa" w:w="100"/>
              <w:right w:type="dxa" w:w="120"/>
            </w:tcMar>
          </w:tcPr>
          <w:p>
            <w:r>
              <w:rPr>
                <w:rFonts w:ascii="Calibri" w:cs="Calibri" w:eastAsia="Calibri" w:hAnsi="Calibri"/>
                <w:b w:val="false"/>
                <w:bCs w:val="false"/>
                <w:color w:val="1A1A1A"/>
                <w:sz w:val="20"/>
                <w:szCs w:val="20"/>
              </w:rPr>
              <w:t xml:space="preserve">120</w:t>
            </w:r>
          </w:p>
        </w:tc>
        <w:tc>
          <w:tcPr>
            <w:tcW w:type="dxa" w:w="2337"/>
            <w:tcMar>
              <w:top w:type="dxa" w:w="100"/>
              <w:left w:type="dxa" w:w="120"/>
              <w:bottom w:type="dxa" w:w="100"/>
              <w:right w:type="dxa" w:w="120"/>
            </w:tcMar>
          </w:tcPr>
          <w:p>
            <w:r>
              <w:rPr>
                <w:rFonts w:ascii="Calibri" w:cs="Calibri" w:eastAsia="Calibri" w:hAnsi="Calibri"/>
                <w:b w:val="false"/>
                <w:bCs w:val="false"/>
                <w:color w:val="1A1A1A"/>
                <w:sz w:val="20"/>
                <w:szCs w:val="20"/>
              </w:rPr>
              <w:t xml:space="preserve">120</w:t>
            </w:r>
          </w:p>
        </w:tc>
      </w:tr>
      <w:tr>
        <w:tc>
          <w:tcPr>
            <w:tcW w:type="dxa" w:w="4675"/>
            <w:tcMar>
              <w:top w:type="dxa" w:w="100"/>
              <w:left w:type="dxa" w:w="120"/>
              <w:bottom w:type="dxa" w:w="100"/>
              <w:right w:type="dxa" w:w="120"/>
            </w:tcMar>
          </w:tcPr>
          <w:p>
            <w:r>
              <w:rPr>
                <w:rFonts w:ascii="Calibri" w:cs="Calibri" w:eastAsia="Calibri" w:hAnsi="Calibri"/>
                <w:b w:val="false"/>
                <w:bCs w:val="false"/>
                <w:color w:val="1A1A1A"/>
                <w:sz w:val="20"/>
                <w:szCs w:val="20"/>
              </w:rPr>
              <w:t xml:space="preserve">booking_events</w:t>
            </w:r>
          </w:p>
        </w:tc>
        <w:tc>
          <w:tcPr>
            <w:tcW w:type="dxa" w:w="2337"/>
            <w:tcMar>
              <w:top w:type="dxa" w:w="100"/>
              <w:left w:type="dxa" w:w="120"/>
              <w:bottom w:type="dxa" w:w="100"/>
              <w:right w:type="dxa" w:w="120"/>
            </w:tcMar>
          </w:tcPr>
          <w:p>
            <w:r>
              <w:rPr>
                <w:rFonts w:ascii="Calibri" w:cs="Calibri" w:eastAsia="Calibri" w:hAnsi="Calibri"/>
                <w:b w:val="false"/>
                <w:bCs w:val="false"/>
                <w:color w:val="1A1A1A"/>
                <w:sz w:val="20"/>
                <w:szCs w:val="20"/>
              </w:rPr>
              <w:t xml:space="preserve">129</w:t>
            </w:r>
          </w:p>
        </w:tc>
        <w:tc>
          <w:tcPr>
            <w:tcW w:type="dxa" w:w="2337"/>
            <w:tcMar>
              <w:top w:type="dxa" w:w="100"/>
              <w:left w:type="dxa" w:w="120"/>
              <w:bottom w:type="dxa" w:w="100"/>
              <w:right w:type="dxa" w:w="120"/>
            </w:tcMar>
          </w:tcPr>
          <w:p>
            <w:r>
              <w:rPr>
                <w:rFonts w:ascii="Calibri" w:cs="Calibri" w:eastAsia="Calibri" w:hAnsi="Calibri"/>
                <w:b w:val="false"/>
                <w:bCs w:val="false"/>
                <w:color w:val="1A1A1A"/>
                <w:sz w:val="20"/>
                <w:szCs w:val="20"/>
              </w:rPr>
              <w:t xml:space="preserve">129</w:t>
            </w:r>
          </w:p>
        </w:tc>
      </w:tr>
    </w:tbl>
    <w:p>
      <w:pPr>
        <w:spacing w:after="160" w:line="276"/>
      </w:pPr>
      <w:r>
        <w:rPr>
          <w:rFonts w:ascii="Calibri" w:cs="Calibri" w:eastAsia="Calibri" w:hAnsi="Calibri"/>
          <w:sz w:val="22"/>
          <w:szCs w:val="22"/>
        </w:rPr>
        <w:t xml:space="preserve">Row counts matched exactly. The restored database was also spot-checked by re-running the optimized query from Section 7 against it directly, confirming the result set was identical post-restore.</w:t>
      </w:r>
    </w:p>
    <w:p>
      <w:pPr>
        <w:pStyle w:val="Heading1"/>
        <w:pBdr>
          <w:bottom w:val="single" w:color="1F3864" w:sz="8" w:space="4"/>
        </w:pBdr>
        <w:spacing w:after="200" w:before="400"/>
      </w:pPr>
      <w:r>
        <w:rPr>
          <w:rFonts w:ascii="Calibri" w:cs="Calibri" w:eastAsia="Calibri" w:hAnsi="Calibri"/>
          <w:b/>
          <w:bCs/>
          <w:color w:val="1F3864"/>
          <w:sz w:val="30"/>
          <w:szCs w:val="30"/>
        </w:rPr>
        <w:t xml:space="preserve">9. Issues Encountered During Implementation and How They Were Resolved</w:t>
      </w:r>
    </w:p>
    <w:p>
      <w:pPr>
        <w:spacing w:after="160" w:line="276"/>
      </w:pPr>
      <w:r>
        <w:rPr>
          <w:rFonts w:ascii="Calibri" w:cs="Calibri" w:eastAsia="Calibri" w:hAnsi="Calibri"/>
          <w:sz w:val="22"/>
          <w:szCs w:val="22"/>
        </w:rPr>
        <w:t xml:space="preserve">A genuine part of this exercise was working through the ordinary friction of standing up a multi-layered stack locally — documented here because it reflects the actual verification process, not a sanitized happy path.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50"/>
      </w:tblGrid>
      <w:tr>
        <w:trPr>
          <w:tblHeader/>
        </w:trPr>
        <w:tc>
          <w:tcPr>
            <w:tcW w:type="dxa" w:w="31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Issue</w:t>
            </w:r>
          </w:p>
        </w:tc>
        <w:tc>
          <w:tcPr>
            <w:tcW w:type="dxa" w:w="31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Root Cause</w:t>
            </w:r>
          </w:p>
        </w:tc>
        <w:tc>
          <w:tcPr>
            <w:tcW w:type="dxa" w:w="31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Resolution</w:t>
            </w:r>
          </w:p>
        </w:tc>
      </w:tr>
      <w:tr>
        <w:tc>
          <w:tcPr>
            <w:tcW w:type="dxa" w:w="3100"/>
            <w:tcMar>
              <w:top w:type="dxa" w:w="100"/>
              <w:left w:type="dxa" w:w="120"/>
              <w:bottom w:type="dxa" w:w="100"/>
              <w:right w:type="dxa" w:w="120"/>
            </w:tcMar>
          </w:tcPr>
          <w:p>
            <w:r>
              <w:rPr>
                <w:rFonts w:ascii="Calibri" w:cs="Calibri" w:eastAsia="Calibri" w:hAnsi="Calibri"/>
                <w:b w:val="false"/>
                <w:bCs w:val="false"/>
                <w:color w:val="1A1A1A"/>
                <w:sz w:val="20"/>
                <w:szCs w:val="20"/>
              </w:rPr>
              <w:t xml:space="preserve">terraform plan failed with “Backend initialization required” even after terraform init -backend=false</w:t>
            </w:r>
          </w:p>
        </w:tc>
        <w:tc>
          <w:tcPr>
            <w:tcW w:type="dxa" w:w="3100"/>
            <w:tcMar>
              <w:top w:type="dxa" w:w="100"/>
              <w:left w:type="dxa" w:w="120"/>
              <w:bottom w:type="dxa" w:w="100"/>
              <w:right w:type="dxa" w:w="120"/>
            </w:tcMar>
          </w:tcPr>
          <w:p>
            <w:r>
              <w:rPr>
                <w:rFonts w:ascii="Calibri" w:cs="Calibri" w:eastAsia="Calibri" w:hAnsi="Calibri"/>
                <w:b w:val="false"/>
                <w:bCs w:val="false"/>
                <w:color w:val="1A1A1A"/>
                <w:sz w:val="20"/>
                <w:szCs w:val="20"/>
              </w:rPr>
              <w:t xml:space="preserve">main.tf declares a real backend "s3" {} block. -backend=false only skips remote backend setup during init; it does not stop plan from insisting on a configured backend once one is declared in code.</w:t>
            </w:r>
          </w:p>
        </w:tc>
        <w:tc>
          <w:tcPr>
            <w:tcW w:type="dxa" w:w="3150"/>
            <w:tcMar>
              <w:top w:type="dxa" w:w="100"/>
              <w:left w:type="dxa" w:w="120"/>
              <w:bottom w:type="dxa" w:w="100"/>
              <w:right w:type="dxa" w:w="120"/>
            </w:tcMar>
          </w:tcPr>
          <w:p>
            <w:r>
              <w:rPr>
                <w:rFonts w:ascii="Calibri" w:cs="Calibri" w:eastAsia="Calibri" w:hAnsi="Calibri"/>
                <w:b w:val="false"/>
                <w:bCs w:val="false"/>
                <w:color w:val="1A1A1A"/>
                <w:sz w:val="20"/>
                <w:szCs w:val="20"/>
              </w:rPr>
              <w:t xml:space="preserve">Added a local-only override.tf (git-ignored) declaring backend "local" {} purely for local validation, then ran terraform init -reconfigure. The real S3 backend in main.tf, required by the assignment, was left untouched.</w:t>
            </w:r>
          </w:p>
        </w:tc>
      </w:tr>
      <w:tr>
        <w:tc>
          <w:tcPr>
            <w:tcW w:type="dxa" w:w="3100"/>
            <w:tcMar>
              <w:top w:type="dxa" w:w="100"/>
              <w:left w:type="dxa" w:w="120"/>
              <w:bottom w:type="dxa" w:w="100"/>
              <w:right w:type="dxa" w:w="120"/>
            </w:tcMar>
          </w:tcPr>
          <w:p>
            <w:r>
              <w:rPr>
                <w:rFonts w:ascii="Calibri" w:cs="Calibri" w:eastAsia="Calibri" w:hAnsi="Calibri"/>
                <w:b w:val="false"/>
                <w:bCs w:val="false"/>
                <w:color w:val="1A1A1A"/>
                <w:sz w:val="20"/>
                <w:szCs w:val="20"/>
              </w:rPr>
              <w:t xml:space="preserve">docker compose up failed with a container name conflict on hotelapp_db</w:t>
            </w:r>
          </w:p>
        </w:tc>
        <w:tc>
          <w:tcPr>
            <w:tcW w:type="dxa" w:w="3100"/>
            <w:tcMar>
              <w:top w:type="dxa" w:w="100"/>
              <w:left w:type="dxa" w:w="120"/>
              <w:bottom w:type="dxa" w:w="100"/>
              <w:right w:type="dxa" w:w="120"/>
            </w:tcMar>
          </w:tcPr>
          <w:p>
            <w:r>
              <w:rPr>
                <w:rFonts w:ascii="Calibri" w:cs="Calibri" w:eastAsia="Calibri" w:hAnsi="Calibri"/>
                <w:b w:val="false"/>
                <w:bCs w:val="false"/>
                <w:color w:val="1A1A1A"/>
                <w:sz w:val="20"/>
                <w:szCs w:val="20"/>
              </w:rPr>
              <w:t xml:space="preserve">A container from an earlier partial run was left behind under the same name.</w:t>
            </w:r>
          </w:p>
        </w:tc>
        <w:tc>
          <w:tcPr>
            <w:tcW w:type="dxa" w:w="3150"/>
            <w:tcMar>
              <w:top w:type="dxa" w:w="100"/>
              <w:left w:type="dxa" w:w="120"/>
              <w:bottom w:type="dxa" w:w="100"/>
              <w:right w:type="dxa" w:w="120"/>
            </w:tcMar>
          </w:tcPr>
          <w:p>
            <w:r>
              <w:rPr>
                <w:rFonts w:ascii="Calibri" w:cs="Calibri" w:eastAsia="Calibri" w:hAnsi="Calibri"/>
                <w:b w:val="false"/>
                <w:bCs w:val="false"/>
                <w:color w:val="1A1A1A"/>
                <w:sz w:val="20"/>
                <w:szCs w:val="20"/>
              </w:rPr>
              <w:t xml:space="preserve">Removed the stale container (docker rm -f hotelapp_db) and re-ran docker compose up -d; verified via logs that migrations and seed data still applied correctly on the fresh container.</w:t>
            </w:r>
          </w:p>
        </w:tc>
      </w:tr>
      <w:tr>
        <w:tc>
          <w:tcPr>
            <w:tcW w:type="dxa" w:w="3100"/>
            <w:tcMar>
              <w:top w:type="dxa" w:w="100"/>
              <w:left w:type="dxa" w:w="120"/>
              <w:bottom w:type="dxa" w:w="100"/>
              <w:right w:type="dxa" w:w="120"/>
            </w:tcMar>
          </w:tcPr>
          <w:p>
            <w:r>
              <w:rPr>
                <w:rFonts w:ascii="Calibri" w:cs="Calibri" w:eastAsia="Calibri" w:hAnsi="Calibri"/>
                <w:b w:val="false"/>
                <w:bCs w:val="false"/>
                <w:color w:val="1A1A1A"/>
                <w:sz w:val="20"/>
                <w:szCs w:val="20"/>
              </w:rPr>
              <w:t xml:space="preserve">pg_dump: command not found when running the backup script</w:t>
            </w:r>
          </w:p>
        </w:tc>
        <w:tc>
          <w:tcPr>
            <w:tcW w:type="dxa" w:w="3100"/>
            <w:tcMar>
              <w:top w:type="dxa" w:w="100"/>
              <w:left w:type="dxa" w:w="120"/>
              <w:bottom w:type="dxa" w:w="100"/>
              <w:right w:type="dxa" w:w="120"/>
            </w:tcMar>
          </w:tcPr>
          <w:p>
            <w:r>
              <w:rPr>
                <w:rFonts w:ascii="Calibri" w:cs="Calibri" w:eastAsia="Calibri" w:hAnsi="Calibri"/>
                <w:b w:val="false"/>
                <w:bCs w:val="false"/>
                <w:color w:val="1A1A1A"/>
                <w:sz w:val="20"/>
                <w:szCs w:val="20"/>
              </w:rPr>
              <w:t xml:space="preserve">The backup/restore scripts connect via localhost:5432 and need Postgres client binaries installed on the host machine, not just inside the Docker container.</w:t>
            </w:r>
          </w:p>
        </w:tc>
        <w:tc>
          <w:tcPr>
            <w:tcW w:type="dxa" w:w="3150"/>
            <w:tcMar>
              <w:top w:type="dxa" w:w="100"/>
              <w:left w:type="dxa" w:w="120"/>
              <w:bottom w:type="dxa" w:w="100"/>
              <w:right w:type="dxa" w:w="120"/>
            </w:tcMar>
          </w:tcPr>
          <w:p>
            <w:r>
              <w:rPr>
                <w:rFonts w:ascii="Calibri" w:cs="Calibri" w:eastAsia="Calibri" w:hAnsi="Calibri"/>
                <w:b w:val="false"/>
                <w:bCs w:val="false"/>
                <w:color w:val="1A1A1A"/>
                <w:sz w:val="20"/>
                <w:szCs w:val="20"/>
              </w:rPr>
              <w:t xml:space="preserve">Installed the client tools via Homebrew (brew install libpq) and added them to PATH, since libpq is keg-only and conflicts with a full PostgreSQL install.</w:t>
            </w:r>
          </w:p>
        </w:tc>
      </w:tr>
      <w:tr>
        <w:tc>
          <w:tcPr>
            <w:tcW w:type="dxa" w:w="3100"/>
            <w:tcMar>
              <w:top w:type="dxa" w:w="100"/>
              <w:left w:type="dxa" w:w="120"/>
              <w:bottom w:type="dxa" w:w="100"/>
              <w:right w:type="dxa" w:w="120"/>
            </w:tcMar>
          </w:tcPr>
          <w:p>
            <w:r>
              <w:rPr>
                <w:rFonts w:ascii="Calibri" w:cs="Calibri" w:eastAsia="Calibri" w:hAnsi="Calibri"/>
                <w:b w:val="false"/>
                <w:bCs w:val="false"/>
                <w:color w:val="1A1A1A"/>
                <w:sz w:val="20"/>
                <w:szCs w:val="20"/>
              </w:rPr>
              <w:t xml:space="preserve">pg_restore reported one ignored error: unrecognized configuration parameter "transaction_timeout"</w:t>
            </w:r>
          </w:p>
        </w:tc>
        <w:tc>
          <w:tcPr>
            <w:tcW w:type="dxa" w:w="3100"/>
            <w:tcMar>
              <w:top w:type="dxa" w:w="100"/>
              <w:left w:type="dxa" w:w="120"/>
              <w:bottom w:type="dxa" w:w="100"/>
              <w:right w:type="dxa" w:w="120"/>
            </w:tcMar>
          </w:tcPr>
          <w:p>
            <w:r>
              <w:rPr>
                <w:rFonts w:ascii="Calibri" w:cs="Calibri" w:eastAsia="Calibri" w:hAnsi="Calibri"/>
                <w:b w:val="false"/>
                <w:bCs w:val="false"/>
                <w:color w:val="1A1A1A"/>
                <w:sz w:val="20"/>
                <w:szCs w:val="20"/>
              </w:rPr>
              <w:t xml:space="preserve">Homebrew's libpq installed Postgres 17 client tools, while the Docker container runs Postgres 16 server. transaction_timeout is a PG17-only session setting embedded in the dump's preamble by the newer pg_dump.</w:t>
            </w:r>
          </w:p>
        </w:tc>
        <w:tc>
          <w:tcPr>
            <w:tcW w:type="dxa" w:w="3150"/>
            <w:tcMar>
              <w:top w:type="dxa" w:w="100"/>
              <w:left w:type="dxa" w:w="120"/>
              <w:bottom w:type="dxa" w:w="100"/>
              <w:right w:type="dxa" w:w="120"/>
            </w:tcMar>
          </w:tcPr>
          <w:p>
            <w:r>
              <w:rPr>
                <w:rFonts w:ascii="Calibri" w:cs="Calibri" w:eastAsia="Calibri" w:hAnsi="Calibri"/>
                <w:b w:val="false"/>
                <w:bCs w:val="false"/>
                <w:color w:val="1A1A1A"/>
                <w:sz w:val="20"/>
                <w:szCs w:val="20"/>
              </w:rPr>
              <w:t xml:space="preserve">Confirmed this was cosmetic, not a data issue, by verifying row counts after restore (see Section 8.1) — all rows restored correctly; the one skipped statement is a client/server version mismatch on an irrelevant session setting.</w:t>
            </w:r>
          </w:p>
        </w:tc>
      </w:tr>
      <w:tr>
        <w:tc>
          <w:tcPr>
            <w:tcW w:type="dxa" w:w="3100"/>
            <w:tcMar>
              <w:top w:type="dxa" w:w="100"/>
              <w:left w:type="dxa" w:w="120"/>
              <w:bottom w:type="dxa" w:w="100"/>
              <w:right w:type="dxa" w:w="120"/>
            </w:tcMar>
          </w:tcPr>
          <w:p>
            <w:r>
              <w:rPr>
                <w:rFonts w:ascii="Calibri" w:cs="Calibri" w:eastAsia="Calibri" w:hAnsi="Calibri"/>
                <w:b w:val="false"/>
                <w:bCs w:val="false"/>
                <w:color w:val="1A1A1A"/>
                <w:sz w:val="20"/>
                <w:szCs w:val="20"/>
              </w:rPr>
              <w:t xml:space="preserve">EXPLAIN ANALYZE on the target query showed a Seq Scan instead of the new index</w:t>
            </w:r>
          </w:p>
        </w:tc>
        <w:tc>
          <w:tcPr>
            <w:tcW w:type="dxa" w:w="3100"/>
            <w:tcMar>
              <w:top w:type="dxa" w:w="100"/>
              <w:left w:type="dxa" w:w="120"/>
              <w:bottom w:type="dxa" w:w="100"/>
              <w:right w:type="dxa" w:w="120"/>
            </w:tcMar>
          </w:tcPr>
          <w:p>
            <w:r>
              <w:rPr>
                <w:rFonts w:ascii="Calibri" w:cs="Calibri" w:eastAsia="Calibri" w:hAnsi="Calibri"/>
                <w:b w:val="false"/>
                <w:bCs w:val="false"/>
                <w:color w:val="1A1A1A"/>
                <w:sz w:val="20"/>
                <w:szCs w:val="20"/>
              </w:rPr>
              <w:t xml:space="preserve">With only 120 seed rows, the planner correctly judges a sequential scan cheaper than an index scan — index overhead only pays off at larger row counts.</w:t>
            </w:r>
          </w:p>
        </w:tc>
        <w:tc>
          <w:tcPr>
            <w:tcW w:type="dxa" w:w="3150"/>
            <w:tcMar>
              <w:top w:type="dxa" w:w="100"/>
              <w:left w:type="dxa" w:w="120"/>
              <w:bottom w:type="dxa" w:w="100"/>
              <w:right w:type="dxa" w:w="120"/>
            </w:tcMar>
          </w:tcPr>
          <w:p>
            <w:r>
              <w:rPr>
                <w:rFonts w:ascii="Calibri" w:cs="Calibri" w:eastAsia="Calibri" w:hAnsi="Calibri"/>
                <w:b w:val="false"/>
                <w:bCs w:val="false"/>
                <w:color w:val="1A1A1A"/>
                <w:sz w:val="20"/>
                <w:szCs w:val="20"/>
              </w:rPr>
              <w:t xml:space="preserve">Ran the same query with SET enable_seqscan = off; for a single diagnostic session, confirming the planner does select idx_hotel_bookings_city_created_at (via a Bitmap Index Scan) when forced — proving the index is correctly built, not that it was unused by mistake.</w:t>
            </w:r>
          </w:p>
        </w:tc>
      </w:tr>
      <w:tr>
        <w:tc>
          <w:tcPr>
            <w:tcW w:type="dxa" w:w="3100"/>
            <w:tcMar>
              <w:top w:type="dxa" w:w="100"/>
              <w:left w:type="dxa" w:w="120"/>
              <w:bottom w:type="dxa" w:w="100"/>
              <w:right w:type="dxa" w:w="120"/>
            </w:tcMar>
          </w:tcPr>
          <w:p>
            <w:r>
              <w:rPr>
                <w:rFonts w:ascii="Calibri" w:cs="Calibri" w:eastAsia="Calibri" w:hAnsi="Calibri"/>
                <w:b w:val="false"/>
                <w:bCs w:val="false"/>
                <w:color w:val="1A1A1A"/>
                <w:sz w:val="20"/>
                <w:szCs w:val="20"/>
              </w:rPr>
              <w:t xml:space="preserve">git push repeatedly failed with fatal: failed to get: -128, and a later attempt failed with “Password authentication is not supported”</w:t>
            </w:r>
          </w:p>
        </w:tc>
        <w:tc>
          <w:tcPr>
            <w:tcW w:type="dxa" w:w="3100"/>
            <w:tcMar>
              <w:top w:type="dxa" w:w="100"/>
              <w:left w:type="dxa" w:w="120"/>
              <w:bottom w:type="dxa" w:w="100"/>
              <w:right w:type="dxa" w:w="120"/>
            </w:tcMar>
          </w:tcPr>
          <w:p>
            <w:r>
              <w:rPr>
                <w:rFonts w:ascii="Calibri" w:cs="Calibri" w:eastAsia="Calibri" w:hAnsi="Calibri"/>
                <w:b w:val="false"/>
                <w:bCs w:val="false"/>
                <w:color w:val="1A1A1A"/>
                <w:sz w:val="20"/>
                <w:szCs w:val="20"/>
              </w:rPr>
              <w:t xml:space="preserve">macOS Keychain was intermittently prompting for credential access, and a later push attempt used an old-style GitHub password instead of a Personal Access Token, which GitHub no longer accepts for Git operations.</w:t>
            </w:r>
          </w:p>
        </w:tc>
        <w:tc>
          <w:tcPr>
            <w:tcW w:type="dxa" w:w="3150"/>
            <w:tcMar>
              <w:top w:type="dxa" w:w="100"/>
              <w:left w:type="dxa" w:w="120"/>
              <w:bottom w:type="dxa" w:w="100"/>
              <w:right w:type="dxa" w:w="120"/>
            </w:tcMar>
          </w:tcPr>
          <w:p>
            <w:r>
              <w:rPr>
                <w:rFonts w:ascii="Calibri" w:cs="Calibri" w:eastAsia="Calibri" w:hAnsi="Calibri"/>
                <w:b w:val="false"/>
                <w:bCs w:val="false"/>
                <w:color w:val="1A1A1A"/>
                <w:sz w:val="20"/>
                <w:szCs w:val="20"/>
              </w:rPr>
              <w:t xml:space="preserve">Approved the Keychain access prompt (Always Allow) for routine pushes, and switched to a GitHub Personal Access Token with repo scope for authentication going forward.</w:t>
            </w:r>
          </w:p>
        </w:tc>
      </w:tr>
    </w:tbl>
    <w:p>
      <w:pPr>
        <w:pStyle w:val="Heading1"/>
        <w:pBdr>
          <w:bottom w:val="single" w:color="1F3864" w:sz="8" w:space="4"/>
        </w:pBdr>
        <w:spacing w:after="200" w:before="400"/>
      </w:pPr>
      <w:r>
        <w:rPr>
          <w:rFonts w:ascii="Calibri" w:cs="Calibri" w:eastAsia="Calibri" w:hAnsi="Calibri"/>
          <w:b/>
          <w:bCs/>
          <w:color w:val="1F3864"/>
          <w:sz w:val="30"/>
          <w:szCs w:val="30"/>
        </w:rPr>
        <w:t xml:space="preserve">10. What This POC Demonstrates</w:t>
      </w:r>
    </w:p>
    <w:p>
      <w:pPr>
        <w:pStyle w:val="Heading2"/>
        <w:spacing w:after="120" w:before="300"/>
      </w:pPr>
      <w:r>
        <w:rPr>
          <w:rFonts w:ascii="Calibri" w:cs="Calibri" w:eastAsia="Calibri" w:hAnsi="Calibri"/>
          <w:b/>
          <w:bCs/>
          <w:color w:val="2E74B5"/>
          <w:sz w:val="25"/>
          <w:szCs w:val="25"/>
        </w:rPr>
        <w:t xml:space="preserve">Infrastructure</w:t>
      </w:r>
    </w:p>
    <w:p>
      <w:pPr>
        <w:pStyle w:val="ListParagraph"/>
        <w:numPr>
          <w:ilvl w:val="0"/>
          <w:numId w:val="2"/>
        </w:numPr>
        <w:spacing w:after="80" w:line="264"/>
      </w:pPr>
      <w:r>
        <w:rPr>
          <w:rFonts w:ascii="Calibri" w:cs="Calibri" w:eastAsia="Calibri" w:hAnsi="Calibri"/>
          <w:sz w:val="22"/>
          <w:szCs w:val="22"/>
        </w:rPr>
        <w:t xml:space="preserve">Modular, reusable Terraform across two environments with zero duplicated resource logic</w:t>
      </w:r>
    </w:p>
    <w:p>
      <w:pPr>
        <w:pStyle w:val="ListParagraph"/>
        <w:numPr>
          <w:ilvl w:val="0"/>
          <w:numId w:val="2"/>
        </w:numPr>
        <w:spacing w:after="80" w:line="264"/>
      </w:pPr>
      <w:r>
        <w:rPr>
          <w:rFonts w:ascii="Calibri" w:cs="Calibri" w:eastAsia="Calibri" w:hAnsi="Calibri"/>
          <w:sz w:val="22"/>
          <w:szCs w:val="22"/>
        </w:rPr>
        <w:t xml:space="preserve">A privately-networked RDS instance reachable only from ECS, verified at the security-group level</w:t>
      </w:r>
    </w:p>
    <w:p>
      <w:pPr>
        <w:pStyle w:val="ListParagraph"/>
        <w:numPr>
          <w:ilvl w:val="0"/>
          <w:numId w:val="2"/>
        </w:numPr>
        <w:spacing w:after="80" w:line="264"/>
      </w:pPr>
      <w:r>
        <w:rPr>
          <w:rFonts w:ascii="Calibri" w:cs="Calibri" w:eastAsia="Calibri" w:hAnsi="Calibri"/>
          <w:sz w:val="22"/>
          <w:szCs w:val="22"/>
        </w:rPr>
        <w:t xml:space="preserve">A full plan validated against live AWS APIs without provisioning billable resources</w:t>
      </w:r>
    </w:p>
    <w:p>
      <w:pPr>
        <w:pStyle w:val="Heading2"/>
        <w:spacing w:after="120" w:before="300"/>
      </w:pPr>
      <w:r>
        <w:rPr>
          <w:rFonts w:ascii="Calibri" w:cs="Calibri" w:eastAsia="Calibri" w:hAnsi="Calibri"/>
          <w:b/>
          <w:bCs/>
          <w:color w:val="2E74B5"/>
          <w:sz w:val="25"/>
          <w:szCs w:val="25"/>
        </w:rPr>
        <w:t xml:space="preserve">Database Reliability</w:t>
      </w:r>
    </w:p>
    <w:p>
      <w:pPr>
        <w:pStyle w:val="ListParagraph"/>
        <w:numPr>
          <w:ilvl w:val="0"/>
          <w:numId w:val="2"/>
        </w:numPr>
        <w:spacing w:after="80" w:line="264"/>
      </w:pPr>
      <w:r>
        <w:rPr>
          <w:rFonts w:ascii="Calibri" w:cs="Calibri" w:eastAsia="Calibri" w:hAnsi="Calibri"/>
          <w:sz w:val="22"/>
          <w:szCs w:val="22"/>
        </w:rPr>
        <w:t xml:space="preserve">A fully reproducible local database stack, driven entirely by version-controlled migrations and seed scripts</w:t>
      </w:r>
    </w:p>
    <w:p>
      <w:pPr>
        <w:pStyle w:val="ListParagraph"/>
        <w:numPr>
          <w:ilvl w:val="0"/>
          <w:numId w:val="2"/>
        </w:numPr>
        <w:spacing w:after="80" w:line="264"/>
      </w:pPr>
      <w:r>
        <w:rPr>
          <w:rFonts w:ascii="Calibri" w:cs="Calibri" w:eastAsia="Calibri" w:hAnsi="Calibri"/>
          <w:sz w:val="22"/>
          <w:szCs w:val="22"/>
        </w:rPr>
        <w:t xml:space="preserve">An index designed from first principles and proven correct with an actual execution plan, not just asserted</w:t>
      </w:r>
    </w:p>
    <w:p>
      <w:pPr>
        <w:pStyle w:val="ListParagraph"/>
        <w:numPr>
          <w:ilvl w:val="0"/>
          <w:numId w:val="2"/>
        </w:numPr>
        <w:spacing w:after="80" w:line="264"/>
      </w:pPr>
      <w:r>
        <w:rPr>
          <w:rFonts w:ascii="Calibri" w:cs="Calibri" w:eastAsia="Calibri" w:hAnsi="Calibri"/>
          <w:sz w:val="22"/>
          <w:szCs w:val="22"/>
        </w:rPr>
        <w:t xml:space="preserve">A backup/restore cycle that was actually executed end-to-end, with automated row-count verification built into the restore script itself</w:t>
      </w:r>
    </w:p>
    <w:p>
      <w:pPr>
        <w:pStyle w:val="Heading2"/>
        <w:spacing w:after="120" w:before="300"/>
      </w:pPr>
      <w:r>
        <w:rPr>
          <w:rFonts w:ascii="Calibri" w:cs="Calibri" w:eastAsia="Calibri" w:hAnsi="Calibri"/>
          <w:b/>
          <w:bCs/>
          <w:color w:val="2E74B5"/>
          <w:sz w:val="25"/>
          <w:szCs w:val="25"/>
        </w:rPr>
        <w:t xml:space="preserve">Operational Maturity</w:t>
      </w:r>
    </w:p>
    <w:p>
      <w:pPr>
        <w:pStyle w:val="ListParagraph"/>
        <w:numPr>
          <w:ilvl w:val="0"/>
          <w:numId w:val="2"/>
        </w:numPr>
        <w:spacing w:after="80" w:line="264"/>
      </w:pPr>
      <w:r>
        <w:rPr>
          <w:rFonts w:ascii="Calibri" w:cs="Calibri" w:eastAsia="Calibri" w:hAnsi="Calibri"/>
          <w:sz w:val="22"/>
          <w:szCs w:val="22"/>
        </w:rPr>
        <w:t xml:space="preserve">Real troubleshooting across Terraform state/backend behavior, Docker container lifecycle, Postgres client/server versioning, and Git authentication — all documented with root cause and resolution</w:t>
      </w:r>
    </w:p>
    <w:p>
      <w:pPr>
        <w:pStyle w:val="Heading1"/>
        <w:pBdr>
          <w:bottom w:val="single" w:color="1F3864" w:sz="8" w:space="4"/>
        </w:pBdr>
        <w:spacing w:after="200" w:before="400"/>
      </w:pPr>
      <w:r>
        <w:rPr>
          <w:rFonts w:ascii="Calibri" w:cs="Calibri" w:eastAsia="Calibri" w:hAnsi="Calibri"/>
          <w:b/>
          <w:bCs/>
          <w:color w:val="1F3864"/>
          <w:sz w:val="30"/>
          <w:szCs w:val="30"/>
        </w:rPr>
        <w:t xml:space="preserve">11. Current Scope and Practical Notes</w:t>
      </w:r>
    </w:p>
    <w:p>
      <w:pPr>
        <w:pStyle w:val="ListParagraph"/>
        <w:numPr>
          <w:ilvl w:val="0"/>
          <w:numId w:val="2"/>
        </w:numPr>
        <w:spacing w:after="80" w:line="264"/>
      </w:pPr>
      <w:r>
        <w:rPr>
          <w:rFonts w:ascii="Calibri" w:cs="Calibri" w:eastAsia="Calibri" w:hAnsi="Calibri"/>
          <w:sz w:val="22"/>
          <w:szCs w:val="22"/>
        </w:rPr>
        <w:t xml:space="preserve">db_password defaults to a placeholder value in Terraform variables; a real deployment would source this from AWS Secrets Manager or SSM Parameter Store instead of a plain variable default</w:t>
      </w:r>
    </w:p>
    <w:p>
      <w:pPr>
        <w:pStyle w:val="ListParagraph"/>
        <w:numPr>
          <w:ilvl w:val="0"/>
          <w:numId w:val="2"/>
        </w:numPr>
        <w:spacing w:after="80" w:line="264"/>
      </w:pPr>
      <w:r>
        <w:rPr>
          <w:rFonts w:ascii="Calibri" w:cs="Calibri" w:eastAsia="Calibri" w:hAnsi="Calibri"/>
          <w:sz w:val="22"/>
          <w:szCs w:val="22"/>
        </w:rPr>
        <w:t xml:space="preserve">A single shared NAT gateway is used per environment to keep the exercise cost-conscious; a hardened production setup would typically use one NAT gateway per AZ for full AZ isolation</w:t>
      </w:r>
    </w:p>
    <w:p>
      <w:pPr>
        <w:pStyle w:val="ListParagraph"/>
        <w:numPr>
          <w:ilvl w:val="0"/>
          <w:numId w:val="2"/>
        </w:numPr>
        <w:spacing w:after="80" w:line="264"/>
      </w:pPr>
      <w:r>
        <w:rPr>
          <w:rFonts w:ascii="Calibri" w:cs="Calibri" w:eastAsia="Calibri" w:hAnsi="Calibri"/>
          <w:sz w:val="22"/>
          <w:szCs w:val="22"/>
        </w:rPr>
        <w:t xml:space="preserve">backend.hcl.example is a placeholder illustrating the expected S3 + DynamoDB remote state configuration; it is not wired to a real bucket, since no AWS deployment was performed or required</w:t>
      </w:r>
    </w:p>
    <w:p>
      <w:pPr>
        <w:pStyle w:val="ListParagraph"/>
        <w:numPr>
          <w:ilvl w:val="0"/>
          <w:numId w:val="2"/>
        </w:numPr>
        <w:spacing w:after="80" w:line="264"/>
      </w:pPr>
      <w:r>
        <w:rPr>
          <w:rFonts w:ascii="Calibri" w:cs="Calibri" w:eastAsia="Calibri" w:hAnsi="Calibri"/>
          <w:sz w:val="22"/>
          <w:szCs w:val="22"/>
        </w:rPr>
        <w:t xml:space="preserve">Docker was unavailable in the authoring/verification environment for one portion of testing, so the exact docker-entrypoint-initdb.d migration + seed sequence was independently verified against a locally installed Postgres 16 instance before being confirmed again inside the actual container</w:t>
      </w:r>
    </w:p>
    <w:p>
      <w:pPr>
        <w:pStyle w:val="Heading1"/>
        <w:pBdr>
          <w:bottom w:val="single" w:color="1F3864" w:sz="8" w:space="4"/>
        </w:pBdr>
        <w:spacing w:after="200" w:before="400"/>
      </w:pPr>
      <w:r>
        <w:rPr>
          <w:rFonts w:ascii="Calibri" w:cs="Calibri" w:eastAsia="Calibri" w:hAnsi="Calibri"/>
          <w:b/>
          <w:bCs/>
          <w:color w:val="1F3864"/>
          <w:sz w:val="30"/>
          <w:szCs w:val="30"/>
        </w:rPr>
        <w:t xml:space="preserve">12. Recommended Next Improvements</w:t>
      </w:r>
    </w:p>
    <w:p>
      <w:pPr>
        <w:pStyle w:val="ListParagraph"/>
        <w:numPr>
          <w:ilvl w:val="0"/>
          <w:numId w:val="2"/>
        </w:numPr>
        <w:spacing w:after="80" w:line="264"/>
      </w:pPr>
      <w:r>
        <w:rPr>
          <w:rFonts w:ascii="Calibri" w:cs="Calibri" w:eastAsia="Calibri" w:hAnsi="Calibri"/>
          <w:sz w:val="22"/>
          <w:szCs w:val="22"/>
        </w:rPr>
        <w:t xml:space="preserve">Add terraform-compliance or Checkov for automated IaC policy and security scanning in the CI workflow</w:t>
      </w:r>
    </w:p>
    <w:p>
      <w:pPr>
        <w:pStyle w:val="ListParagraph"/>
        <w:numPr>
          <w:ilvl w:val="0"/>
          <w:numId w:val="2"/>
        </w:numPr>
        <w:spacing w:after="80" w:line="264"/>
      </w:pPr>
      <w:r>
        <w:rPr>
          <w:rFonts w:ascii="Calibri" w:cs="Calibri" w:eastAsia="Calibri" w:hAnsi="Calibri"/>
          <w:sz w:val="22"/>
          <w:szCs w:val="22"/>
        </w:rPr>
        <w:t xml:space="preserve">Source db_password from AWS Secrets Manager via a data source instead of a Terraform variable default</w:t>
      </w:r>
    </w:p>
    <w:p>
      <w:pPr>
        <w:pStyle w:val="ListParagraph"/>
        <w:numPr>
          <w:ilvl w:val="0"/>
          <w:numId w:val="2"/>
        </w:numPr>
        <w:spacing w:after="80" w:line="264"/>
      </w:pPr>
      <w:r>
        <w:rPr>
          <w:rFonts w:ascii="Calibri" w:cs="Calibri" w:eastAsia="Calibri" w:hAnsi="Calibri"/>
          <w:sz w:val="22"/>
          <w:szCs w:val="22"/>
        </w:rPr>
        <w:t xml:space="preserve">Extend the GitHub Actions workflow with a required-approval gate before any real apply against prod</w:t>
      </w:r>
    </w:p>
    <w:p>
      <w:pPr>
        <w:pStyle w:val="ListParagraph"/>
        <w:numPr>
          <w:ilvl w:val="0"/>
          <w:numId w:val="2"/>
        </w:numPr>
        <w:spacing w:after="80" w:line="264"/>
      </w:pPr>
      <w:r>
        <w:rPr>
          <w:rFonts w:ascii="Calibri" w:cs="Calibri" w:eastAsia="Calibri" w:hAnsi="Calibri"/>
          <w:sz w:val="22"/>
          <w:szCs w:val="22"/>
        </w:rPr>
        <w:t xml:space="preserve">Add a scheduled (cron-triggered) backup workflow rather than only an on-demand script</w:t>
      </w:r>
    </w:p>
    <w:p>
      <w:pPr>
        <w:pStyle w:val="ListParagraph"/>
        <w:numPr>
          <w:ilvl w:val="0"/>
          <w:numId w:val="2"/>
        </w:numPr>
        <w:spacing w:after="80" w:line="264"/>
      </w:pPr>
      <w:r>
        <w:rPr>
          <w:rFonts w:ascii="Calibri" w:cs="Calibri" w:eastAsia="Calibri" w:hAnsi="Calibri"/>
          <w:sz w:val="22"/>
          <w:szCs w:val="22"/>
        </w:rPr>
        <w:t xml:space="preserve">Introduce pgBackRest or WAL-based continuous archiving for point-in-time recovery beyond daily snapshot-style dumps</w:t>
      </w:r>
    </w:p>
    <w:p>
      <w:pPr>
        <w:pStyle w:val="Heading1"/>
        <w:pBdr>
          <w:bottom w:val="single" w:color="1F3864" w:sz="8" w:space="4"/>
        </w:pBdr>
        <w:spacing w:after="200" w:before="400"/>
      </w:pPr>
      <w:r>
        <w:rPr>
          <w:rFonts w:ascii="Calibri" w:cs="Calibri" w:eastAsia="Calibri" w:hAnsi="Calibri"/>
          <w:b/>
          <w:bCs/>
          <w:color w:val="1F3864"/>
          <w:sz w:val="30"/>
          <w:szCs w:val="30"/>
        </w:rPr>
        <w:t xml:space="preserve">13. Conclusion</w:t>
      </w:r>
    </w:p>
    <w:p>
      <w:pPr>
        <w:spacing w:after="160" w:line="276"/>
      </w:pPr>
      <w:r>
        <w:rPr>
          <w:rFonts w:ascii="Calibri" w:cs="Calibri" w:eastAsia="Calibri" w:hAnsi="Calibri"/>
          <w:sz w:val="22"/>
          <w:szCs w:val="22"/>
        </w:rPr>
        <w:t xml:space="preserve">This POC delivers a working, independently-verified baseline across two disciplines the assignment targeted together: infrastructure-as-code discipline in Terraform, and database operational reliability in PostgreSQL. Every claim in this document — the Terraform plan output, the seed data counts, the index's execution plan, and the backup/restore row counts — was produced by actually running the corresponding command, not written from assumption. The issues encountered along the way (Section 9) are included deliberately, since resolving them is itself evidence of the operational judgment the assessment is evaluating.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iw3hq4jljua3flxbpwyj" Type="http://schemas.openxmlformats.org/officeDocument/2006/relationships/hyperlink" Target="https://github.com/srujan-patil/project1"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2026-07-08T03:49:08.522Z</dcterms:created>
  <dcterms:modified xsi:type="dcterms:W3CDTF">2026-07-08T03:49:08.522Z</dcterms:modified>
</cp:coreProperties>
</file>

<file path=docProps/custom.xml><?xml version="1.0" encoding="utf-8"?>
<Properties xmlns="http://schemas.openxmlformats.org/officeDocument/2006/custom-properties" xmlns:vt="http://schemas.openxmlformats.org/officeDocument/2006/docPropsVTypes"/>
</file>