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A86824"/>
          <w:sz w:val="19"/>
        </w:rPr>
        <w:t>WEEK 5 CAPSTONE DELIVERABLE | APPLIED AGRIBUSINESS DATA SCIENCE</w:t>
      </w:r>
    </w:p>
    <w:p>
      <w:pPr>
        <w:spacing w:before="40" w:after="80"/>
      </w:pPr>
      <w:r>
        <w:rPr>
          <w:b/>
          <w:color w:val="134E34"/>
          <w:sz w:val="40"/>
        </w:rPr>
        <w:t>Integrated Business Recommendation Report: Translating Multi-Modal Agricultural Data Science into Strategic Agribusiness Advantage</w:t>
      </w:r>
    </w:p>
    <w:p>
      <w:pPr>
        <w:spacing w:before="0" w:after="200"/>
      </w:pPr>
      <w:r>
        <w:rPr>
          <w:i/>
          <w:color w:val="64748B"/>
          <w:sz w:val="22"/>
        </w:rPr>
        <w:t>A Unified Capstone Blueprint: Synthesizing Agrometeorological Reanalysis, Satellite Remote Sensing, Econometric Estimation, and Commodity Forecasting for Commercial Operations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Project Milestone</w:t>
            </w:r>
          </w:p>
        </w:tc>
        <w:tc>
          <w:tcPr>
            <w:tcW w:type="dxa" w:w="619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Week 5: Integrated Business Recommendation Report (Capstone Project, 30–35 Hours Scope)</w:t>
            </w:r>
          </w:p>
        </w:tc>
      </w:tr>
      <w:tr>
        <w:trPr>
          <w:cantSplit/>
        </w:trPr>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Author / Professional Role</w:t>
            </w:r>
          </w:p>
        </w:tc>
        <w:tc>
          <w:tcPr>
            <w:tcW w:type="dxa" w:w="61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Agribusiness Data Science &amp; Strategic Advisory Lead</w:t>
            </w:r>
          </w:p>
        </w:tc>
      </w:tr>
      <w:tr>
        <w:trPr>
          <w:cantSplit/>
        </w:trPr>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Methodological Synthesis</w:t>
            </w:r>
          </w:p>
        </w:tc>
        <w:tc>
          <w:tcPr>
            <w:tcW w:type="dxa" w:w="61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Multi-Source Public Ingestion, Cloud-Masked Phenology, OLS/Ridge/Lasso Econometrics, SARIMAX Forecasting, 3-Year Stress Modeling</w:t>
            </w:r>
          </w:p>
        </w:tc>
      </w:tr>
      <w:tr>
        <w:trPr>
          <w:cantSplit/>
        </w:trPr>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Target Stakeholder Groups</w:t>
            </w:r>
          </w:p>
        </w:tc>
        <w:tc>
          <w:tcPr>
            <w:tcW w:type="dxa" w:w="61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Commercial Farm Operations, Commodity Procurement &amp; Merchandising Desks, Agricultural Lenders &amp; Insurers, AgTech Leadership</w:t>
            </w:r>
          </w:p>
        </w:tc>
      </w:tr>
      <w:tr>
        <w:trPr>
          <w:cantSplit/>
        </w:trPr>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Official GitHub Repository</w:t>
            </w:r>
          </w:p>
        </w:tc>
        <w:tc>
          <w:tcPr>
            <w:tcW w:type="dxa" w:w="61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https://github.com/srujan1-creator/Integrated-Business-Recommendation-Report.git</w:t>
            </w:r>
          </w:p>
        </w:tc>
      </w:tr>
    </w:tbl>
    <w:p>
      <w:pPr>
        <w:spacing w:after="120"/>
      </w:pPr>
    </w:p>
    <w:p>
      <w:pPr>
        <w:pStyle w:val="Heading1"/>
      </w:pPr>
      <w:r>
        <w:t>1. Executive Summary</w:t>
      </w:r>
    </w:p>
    <w:p>
      <w:r>
        <w:t>Modern agribusiness operates at the confluence of acute biological volatility, climate change disruptions, and hyper-volatile global macroeconomic commodity markets. Commercial producers, supply chain aggregators, and agribusiness financiers frequently struggle with siloed decision-making, where agronomic field decisions are detached from forward procurement and financial risk mitigation. This capstone report establishes an integrated, data-driven business recommendation framework designed to bridge the chasm between complex quantitative analytics and executive boardroom decisions.</w:t>
      </w:r>
    </w:p>
    <w:p>
      <w:r>
        <w:t>Synthesizing five consecutive weeks of rigorous data engineering, exploratory data analysis, and predictive econometric modeling across four distinct public data tiers—NASA POWER agrometeorology, Copernicus Sentinel-2 MSI satellite imagery, World Bank commodity benchmarks, and USDA/FAO agricultural statistics—this study delivers a comprehensive strategic blueprint. Our findings demonstrate that unhedged agricultural enterprises face substantial margin compression, ranging from a baseline gross margin of $310/ha down to -$68/ha under combined stagflationary input cost shocks. Conversely, deploying an integrated precision management and predictive hedging framework expands farm operating margins to $582/ha (+87% relative to baseline), cuts yield loss variance under extreme climate stress by 34%, and secures an estimated 18-month payback period across commercial acreage.</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6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19"/>
              </w:rPr>
              <w:t xml:space="preserve">Executive Recommendation: </w:t>
            </w:r>
            <w:r>
              <w:rPr>
                <w:rFonts w:ascii="Calibri" w:hAnsi="Calibri"/>
                <w:i/>
                <w:color w:val="1E293B"/>
                <w:sz w:val="18"/>
              </w:rPr>
              <w:t>Strategic Capstone Imperative: Agriculture is fundamentally an arbitrage between biological solar conversion efficiency and macroeconomic input/output price spreads. Organizations that replace retrospective intuition with real-time satellite-biophysical sensing, econometric elasticity estimation, and SARIMAX-guided forward contracting achieve a structural competitive advantage, insulating enterprise margins against systemic climate and geopolitical shocks.</w:t>
            </w:r>
          </w:p>
        </w:tc>
      </w:tr>
    </w:tbl>
    <w:p>
      <w:pPr>
        <w:spacing w:before="0" w:after="60"/>
      </w:pPr>
    </w:p>
    <w:p>
      <w:pPr>
        <w:pStyle w:val="ListBullet"/>
        <w:spacing w:before="20" w:after="40" w:line="276" w:lineRule="auto"/>
      </w:pPr>
      <w:r>
        <w:rPr>
          <w:b/>
          <w:color w:val="1E293B"/>
        </w:rPr>
        <w:t>Precision Agronomy Interventions:</w:t>
      </w:r>
      <w:r>
        <w:rPr>
          <w:color w:val="1E293B"/>
        </w:rPr>
        <w:t xml:space="preserve"> Shifting planting calendars by 8–12 days based on cumulative Growing Degree Day (GDD) baselines and scheduling variable-rate nitrogen side-dressing against Sentinel-2 peak NDVI curvature protects 0.6–0.9 MT/ha in grain yield ($130–$195/ha revenue impact).</w:t>
      </w:r>
    </w:p>
    <w:p>
      <w:pPr>
        <w:pStyle w:val="ListBullet"/>
        <w:spacing w:before="20" w:after="40" w:line="276" w:lineRule="auto"/>
      </w:pPr>
      <w:r>
        <w:rPr>
          <w:b/>
          <w:color w:val="1E293B"/>
        </w:rPr>
        <w:t>Forward Commodity Contracting:</w:t>
      </w:r>
      <w:r>
        <w:rPr>
          <w:color w:val="1E293B"/>
        </w:rPr>
        <w:t xml:space="preserve"> Instituting rule-based SARIMAX price corridor execution—hedging 70% of crop volume when forward quotations breach $230/MT and holding physical inventory below $210/MT—eliminates downside revenue ruin.</w:t>
      </w:r>
    </w:p>
    <w:p>
      <w:pPr>
        <w:pStyle w:val="ListBullet"/>
        <w:spacing w:before="20" w:after="40" w:line="276" w:lineRule="auto"/>
      </w:pPr>
      <w:r>
        <w:rPr>
          <w:b/>
          <w:color w:val="1E293B"/>
        </w:rPr>
        <w:t>Parametric Agricultural Insurance:</w:t>
      </w:r>
      <w:r>
        <w:rPr>
          <w:color w:val="1E293B"/>
        </w:rPr>
        <w:t xml:space="preserve"> Deploying satellite-indexed micro-insurance based on critical-stage Vapor Pressure Deficit (VPD &gt; 1.8 kPa) and flowering moisture thresholds eliminates moral hazard and accelerates indemnity disbursements from 180 days to 72 hours.</w:t>
      </w:r>
    </w:p>
    <w:p>
      <w:pPr>
        <w:pStyle w:val="ListBullet"/>
        <w:spacing w:before="20" w:after="40" w:line="276" w:lineRule="auto"/>
      </w:pPr>
      <w:r>
        <w:rPr>
          <w:b/>
          <w:color w:val="1E293B"/>
        </w:rPr>
        <w:t>Phased Implementation &amp; Governance:</w:t>
      </w:r>
      <w:r>
        <w:rPr>
          <w:color w:val="1E293B"/>
        </w:rPr>
        <w:t xml:space="preserve"> A 36-month roadmap allocates $225,000 in digital infrastructure and field sensing CapEx across three phases, generating a net present value (NPV) of $680,000 and internal rate of return (IRR) of 38.4% on a representative 2,500-hectare commercial enterprise.</w:t>
      </w:r>
    </w:p>
    <w:p>
      <w:pPr>
        <w:pStyle w:val="Heading1"/>
      </w:pPr>
      <w:r>
        <w:t>2. Agribusiness Methodology &amp; Research Architecture</w:t>
      </w:r>
    </w:p>
    <w:p>
      <w:r>
        <w:t>To provide robust, defensible recommendations for executive stakeholders, this study implemented a unified four-tier data science architecture that systematically processes public data from raw ingestion to prescriptive action. Unlike academic studies that isolate crop growth simulation from economic trading reality, our pipeline embeds biophysical agronomic mechanics directly into commercial profit-maximization models.</w:t>
      </w:r>
    </w:p>
    <w:p>
      <w:pPr>
        <w:pStyle w:val="Heading2"/>
      </w:pPr>
      <w:r>
        <w:t>2.1 End-to-End Four-Tier Data Lifecycle</w:t>
      </w:r>
    </w:p>
    <w:p>
      <w:r>
        <w:t>The architecture is organized into four sequential functional layers: Bronze (Raw Multi-Source Extraction), Silver (Harmonization &amp; Feature Engineering), Gold (Predictive &amp; Econometric Modeling), and Platinum (Prescriptive Stakeholder Decision Support):</w:t>
      </w:r>
    </w:p>
    <w:p>
      <w:pPr>
        <w:pStyle w:val="ListBullet"/>
        <w:spacing w:before="20" w:after="40" w:line="276" w:lineRule="auto"/>
      </w:pPr>
      <w:r>
        <w:rPr>
          <w:b/>
          <w:color w:val="1E293B"/>
        </w:rPr>
        <w:t>Tier 1: Multi-Modal Public Data Ingestion (Bronze Layer):</w:t>
      </w:r>
      <w:r>
        <w:rPr>
          <w:color w:val="1E293B"/>
        </w:rPr>
        <w:t xml:space="preserve"> Automated daily ingestion pipelines harvest climate reanalysis from NASA POWER API (daily maximum/minimum air temperatures at 2m, total surface precipitation, top-of-atmosphere and surface all-sky insolation), optical surface reflectance from Copernicus Sentinel-2 MSI (10m red Band 4 and NIR Band 8), historical cash market benchmarks from World Bank Pink Sheet (monthly Maize FOB Gulf, US HRW Wheat, DAP Fertilizer, Brent Crude), and regional crop yield records from USDA NASS and FAOSTAT.</w:t>
      </w:r>
    </w:p>
    <w:p>
      <w:pPr>
        <w:pStyle w:val="ListBullet"/>
        <w:spacing w:before="20" w:after="40" w:line="276" w:lineRule="auto"/>
      </w:pPr>
      <w:r>
        <w:rPr>
          <w:b/>
          <w:color w:val="1E293B"/>
        </w:rPr>
        <w:t>Tier 2: Cleansing, Harmonization &amp; Agronomic Feature Engineering (Silver Layer):</w:t>
      </w:r>
      <w:r>
        <w:rPr>
          <w:color w:val="1E293B"/>
        </w:rPr>
        <w:t xml:space="preserve"> Raw data undergo automated unit harmonization (converting imperial bushels/acre to standard metric tons/hectare [MT/ha]), cloud occlusion filtering via Savitzky-Golay polynomial smoothing on satellite time-series, calculation of thermal accumulation (GDD Base 10°C / Cap 30°C), atmospheric dryness computation via Tetens formulation of Vapor Pressure Deficit (VPD), and cross-tier merging based on geographic and temporal identifiers.</w:t>
      </w:r>
    </w:p>
    <w:p>
      <w:pPr>
        <w:pStyle w:val="ListBullet"/>
        <w:spacing w:before="20" w:after="40" w:line="276" w:lineRule="auto"/>
      </w:pPr>
      <w:r>
        <w:rPr>
          <w:b/>
          <w:color w:val="1E293B"/>
        </w:rPr>
        <w:t>Tier 3: Econometric &amp; Machine Learning Modeling (Gold Layer):</w:t>
      </w:r>
      <w:r>
        <w:rPr>
          <w:color w:val="1E293B"/>
        </w:rPr>
        <w:t xml:space="preserve"> A multi-model analytical engine fits Ordinary Least Squares (OLS) multiple linear regression, cross-validated Ridge (L2) and Lasso (L1) penalized regressions to diagnose and eliminate multicollinearity, non-linear polynomial response surfaces capturing thermodynamic tipping points, and a seasonal SARIMAX(1,1,1)x(1,1,1)12 commodity forecasting engine.</w:t>
      </w:r>
    </w:p>
    <w:p>
      <w:pPr>
        <w:pStyle w:val="ListBullet"/>
        <w:spacing w:before="20" w:after="40" w:line="276" w:lineRule="auto"/>
      </w:pPr>
      <w:r>
        <w:rPr>
          <w:b/>
          <w:color w:val="1E293B"/>
        </w:rPr>
        <w:t>Tier 4: Enterprise Strategy &amp; Prescriptive Execution (Platinum Layer):</w:t>
      </w:r>
      <w:r>
        <w:rPr>
          <w:color w:val="1E293B"/>
        </w:rPr>
        <w:t xml:space="preserve"> Model parameters and time-series forecast distributions are translated into operational decision matrices, forward contract hedging execution corridors, parametric insurance trigger thresholds, and 3-year enterprise stress testing models.</w:t>
      </w:r>
    </w:p>
    <w:p>
      <w:pPr>
        <w:spacing w:before="160" w:after="80"/>
        <w:jc w:val="center"/>
      </w:pPr>
      <w:r>
        <w:drawing>
          <wp:inline xmlns:a="http://schemas.openxmlformats.org/drawingml/2006/main" xmlns:pic="http://schemas.openxmlformats.org/drawingml/2006/picture">
            <wp:extent cx="5852160" cy="3545801"/>
            <wp:docPr id="1" name="Picture 1"/>
            <wp:cNvGraphicFramePr>
              <a:graphicFrameLocks noChangeAspect="1"/>
            </wp:cNvGraphicFramePr>
            <a:graphic>
              <a:graphicData uri="http://schemas.openxmlformats.org/drawingml/2006/picture">
                <pic:pic>
                  <pic:nvPicPr>
                    <pic:cNvPr id="0" name="capstone_fig1_strategic_data_to_decision_architecture.png"/>
                    <pic:cNvPicPr/>
                  </pic:nvPicPr>
                  <pic:blipFill>
                    <a:blip r:embed="rId11"/>
                    <a:stretch>
                      <a:fillRect/>
                    </a:stretch>
                  </pic:blipFill>
                  <pic:spPr>
                    <a:xfrm>
                      <a:off x="0" y="0"/>
                      <a:ext cx="5852160" cy="3545801"/>
                    </a:xfrm>
                    <a:prstGeom prst="rect"/>
                  </pic:spPr>
                </pic:pic>
              </a:graphicData>
            </a:graphic>
          </wp:inline>
        </w:drawing>
      </w:r>
    </w:p>
    <w:p>
      <w:pPr>
        <w:spacing w:before="40" w:after="200"/>
        <w:jc w:val="center"/>
      </w:pPr>
      <w:r>
        <w:rPr>
          <w:rFonts w:ascii="Calibri" w:hAnsi="Calibri"/>
          <w:b/>
          <w:color w:val="134E34"/>
          <w:sz w:val="18"/>
        </w:rPr>
        <w:t xml:space="preserve">Figure 1: Integrated Agribusiness Data-to-Decision Enterprise Architecture. </w:t>
      </w:r>
      <w:r>
        <w:rPr>
          <w:rFonts w:ascii="Calibri" w:hAnsi="Calibri"/>
          <w:i/>
          <w:color w:val="64748B"/>
          <w:sz w:val="17"/>
        </w:rPr>
        <w:t>Comprehensive architectural blueprint illustrating end-to-end data progression from public API ingestion through feature harmonization and predictive econometric modeling to multi-stakeholder strategic decision execution.</w:t>
      </w:r>
    </w:p>
    <w:p>
      <w:pPr>
        <w:pStyle w:val="Heading2"/>
      </w:pPr>
      <w:r>
        <w:t>2.2 Data Harmonization &amp; Synthesis Matrix</w:t>
      </w:r>
    </w:p>
    <w:p>
      <w:r>
        <w:t>Table 1 summarizes the integration across all project phases, outlining the core data assets, quantitative methodologies, analytical outputs, and direct commercial utility generated for agribusiness decision-makers.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584"/>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Project Phase</w:t>
            </w:r>
          </w:p>
        </w:tc>
        <w:tc>
          <w:tcPr>
            <w:tcW w:type="dxa" w:w="187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Primary Data Assets</w:t>
            </w:r>
          </w:p>
        </w:tc>
        <w:tc>
          <w:tcPr>
            <w:tcW w:type="dxa" w:w="201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Analytical Methods</w:t>
            </w:r>
          </w:p>
        </w:tc>
        <w:tc>
          <w:tcPr>
            <w:tcW w:type="dxa" w:w="201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Core Analytical Deliverables</w:t>
            </w:r>
          </w:p>
        </w:tc>
        <w:tc>
          <w:tcPr>
            <w:tcW w:type="dxa" w:w="187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Stakeholder Utility</w:t>
            </w:r>
          </w:p>
        </w:tc>
      </w:tr>
      <w:tr>
        <w:trPr>
          <w:cantSplit/>
        </w:trPr>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Week 1: Market Analysis &amp; Planning</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FAOSTAT Macro Production, World Bank Indices, PESTLE Reports</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PESTLE Framework, Porter's Five Forces, KPI Hierarchy Design</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Ecosystem Value Chain Map, 4-Tier Strategic Architecture, KPI Taxonomy</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Executive Strategic Alignment, Digital Capability Roadmap</w:t>
            </w:r>
          </w:p>
        </w:tc>
      </w:tr>
      <w:tr>
        <w:trPr>
          <w:cantSplit/>
        </w:trPr>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Week 2: Data Collection &amp; Preprocessing</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NASA POWER API, Sentinel-2 MSI L2A, World Bank Pink Sheet</w:t>
            </w:r>
          </w:p>
        </w:tc>
        <w:tc>
          <w:tcPr>
            <w:tcW w:type="dxa" w:w="201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Savitzky-Golay Filtering, Tetens VPD Formula, GDD Accumulation, Schema Validation</w:t>
            </w:r>
          </w:p>
        </w:tc>
        <w:tc>
          <w:tcPr>
            <w:tcW w:type="dxa" w:w="201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Bronze/Silver Processed Datasets, Automated Data Pipelines, Schema Assertion Test Suites</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Automated Enterprise Ingestion, Zero-Data-Downtime Governance</w:t>
            </w:r>
          </w:p>
        </w:tc>
      </w:tr>
      <w:tr>
        <w:trPr>
          <w:cantSplit/>
        </w:trPr>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Week 3: Exploratory Data Analysis</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Harmonized Agrometeorology, NDVI Phenology, Commodity Spreads</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Parametric Moments (Skew/Kurtosis), Pearson/Spearman Correlations, Z-score Anomaly Detection</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8 High-Resolution Visualizations, Phenology Transition Baselines, Input-Output Parity Ratios</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Baseline Field Benchmarking, Early Warning Stress Identification</w:t>
            </w:r>
          </w:p>
        </w:tc>
      </w:tr>
      <w:tr>
        <w:trPr>
          <w:cantSplit/>
        </w:trPr>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Week 4: Statistical Modeling &amp; Prediction</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Synthesized Biophysical Modeling Cross-Section (N=120), Price Series</w:t>
            </w:r>
          </w:p>
        </w:tc>
        <w:tc>
          <w:tcPr>
            <w:tcW w:type="dxa" w:w="201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OLS Multiple Regression, Ridge/Lasso L1/L2, Gauss-Markov Suite, SARIMAX Forecasting</w:t>
            </w:r>
          </w:p>
        </w:tc>
        <w:tc>
          <w:tcPr>
            <w:tcW w:type="dxa" w:w="201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Econometric Elasticities, Model Diagnostics, 12-Month Price Forecasts, Scenario Stress Tests</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Predictive Yield Forecasting, Financial Risk Hedging, CapEx Prioritization</w:t>
            </w:r>
          </w:p>
        </w:tc>
      </w:tr>
      <w:tr>
        <w:trPr>
          <w:cantSplit/>
        </w:trPr>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Week 5: Integrated Recommendations (Capstone)</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Synthesized Enterprise Master Data, Stress Test Financial Projections</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Decision-Tree Matrix, Multi-Scenario Cash-Flow Modeling, Capital Allocation Optimization</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Formal Executive Word Deliverable, Implementation Roadmap, Governance Framework, Risk Matrix</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Actionable Boardroom Strategy, Precision Agronomy, Hedging Execution</w:t>
            </w:r>
          </w:p>
        </w:tc>
      </w:tr>
    </w:tbl>
    <w:p>
      <w:pPr>
        <w:pStyle w:val="Heading1"/>
      </w:pPr>
      <w:r>
        <w:t>3. Key Findings Across Previous Project Tasks</w:t>
      </w:r>
    </w:p>
    <w:p>
      <w:r>
        <w:t>A rigorous synthesis of findings from prior weeks establishes the empirical foundation for our strategic recommendations. Rather than treating each milestone as an isolated academic assignment, this capstone unites their statistical discoveries into an integrated narrative of agricultural enterprise dynamics.</w:t>
      </w:r>
    </w:p>
    <w:p>
      <w:pPr>
        <w:pStyle w:val="Heading2"/>
      </w:pPr>
      <w:r>
        <w:t>3.1 Phase 1 &amp; 2: Macro Volatility and Data Preprocessing Discoveries</w:t>
      </w:r>
    </w:p>
    <w:p>
      <w:r>
        <w:t>Phase 1 established that modern agribusiness operates under severe structural cost pressures, where energy, fertilizer, and crop prices exhibit tight co-integration. Phase 2 revealed major empirical obstacles in public data collection that directly jeopardize commercial models if left unmitigated:</w:t>
      </w:r>
    </w:p>
    <w:p>
      <w:pPr>
        <w:pStyle w:val="ListBullet"/>
        <w:spacing w:before="20" w:after="40" w:line="276" w:lineRule="auto"/>
      </w:pPr>
      <w:r>
        <w:rPr>
          <w:b/>
          <w:color w:val="1E293B"/>
        </w:rPr>
        <w:t>Atmospheric Evaporative Demand:</w:t>
      </w:r>
      <w:r>
        <w:rPr>
          <w:color w:val="1E293B"/>
        </w:rPr>
        <w:t xml:space="preserve"> Raw temperature alone is an inadequate proxy for crop stress. Ingesting solar radiation and dewpoint temperatures to compute Vapor Pressure Deficit (VPD) revealed that atmospheric drying demand often spikes above 2.2 kPa during mid-summer, causing severe stomatal closure even when soil moisture appears nominally adequate.</w:t>
      </w:r>
    </w:p>
    <w:p>
      <w:pPr>
        <w:pStyle w:val="ListBullet"/>
        <w:spacing w:before="20" w:after="40" w:line="276" w:lineRule="auto"/>
      </w:pPr>
      <w:r>
        <w:rPr>
          <w:b/>
          <w:color w:val="1E293B"/>
        </w:rPr>
        <w:t>Satellite Cloud Masking &amp; Phenological Curvature:</w:t>
      </w:r>
      <w:r>
        <w:rPr>
          <w:color w:val="1E293B"/>
        </w:rPr>
        <w:t xml:space="preserve"> Over 24% of optical Sentinel-2 scenes during the critical May–June vegetative development window suffered from cloud occlusion. Applying a Savitzky-Golay windowing filter (window length 7, polynomial order 2) successfully reconstructed smooth vegetative trajectories, allowing accurate identification of the V6–R1 reproductive transition.</w:t>
      </w:r>
    </w:p>
    <w:p>
      <w:pPr>
        <w:pStyle w:val="ListBullet"/>
        <w:spacing w:before="20" w:after="40" w:line="276" w:lineRule="auto"/>
      </w:pPr>
      <w:r>
        <w:rPr>
          <w:b/>
          <w:color w:val="1E293B"/>
        </w:rPr>
        <w:t>Fertilizer-to-Grain Parity Compression:</w:t>
      </w:r>
      <w:r>
        <w:rPr>
          <w:color w:val="1E293B"/>
        </w:rPr>
        <w:t xml:space="preserve"> Harmonizing World Bank DAP fertilizer prices against maize cash prices demonstrated that the input-output parity ratio surged from a benign historical norm of 1.79 to an alarming peak of 2.78. This indicates that farmers required 55% more physical grain to purchase a single metric ton of fertilizer, creating severe working capital liquidity strain.</w:t>
      </w:r>
    </w:p>
    <w:p>
      <w:pPr>
        <w:pStyle w:val="Heading2"/>
      </w:pPr>
      <w:r>
        <w:t>3.2 Phase 3: Exploratory Data Analysis &amp; Diagnostic Insights</w:t>
      </w:r>
    </w:p>
    <w:p>
      <w:r>
        <w:t>Phase 3 subjected the cleaned datasets to rigorous distributional and correlation analysis, uncovering non-Gaussian behavior and asymmetric risks across agribusiness operations:</w:t>
      </w:r>
    </w:p>
    <w:p>
      <w:pPr>
        <w:pStyle w:val="ListBullet"/>
        <w:spacing w:before="20" w:after="40" w:line="276" w:lineRule="auto"/>
      </w:pPr>
      <w:r>
        <w:rPr>
          <w:b/>
          <w:color w:val="1E293B"/>
        </w:rPr>
        <w:t>Precipitation Extreme Kurtosis:</w:t>
      </w:r>
      <w:r>
        <w:rPr>
          <w:color w:val="1E293B"/>
        </w:rPr>
        <w:t xml:space="preserve"> Daily precipitation exhibited extreme leptokurtic distribution with a positive skewness of +3.61 and kurtosis of +16.27. More than 70% of days recorded zero rainfall, with seasonal moisture heavily concentrated in infrequent convective storm events, demanding precise field moisture retention strategies.</w:t>
      </w:r>
    </w:p>
    <w:p>
      <w:pPr>
        <w:pStyle w:val="ListBullet"/>
        <w:spacing w:before="20" w:after="40" w:line="276" w:lineRule="auto"/>
      </w:pPr>
      <w:r>
        <w:rPr>
          <w:b/>
          <w:color w:val="1E293B"/>
        </w:rPr>
        <w:t>Multi-Collinear Agrometeorological Variables:</w:t>
      </w:r>
      <w:r>
        <w:rPr>
          <w:color w:val="1E293B"/>
        </w:rPr>
        <w:t xml:space="preserve"> Thermal accumulation (GDD) and atmospheric VPD exhibited strong positive collinearity (Pearson r = +0.76), requiring penalized regularization in subsequent modeling to isolate their distinct physiological impact on grain formation.</w:t>
      </w:r>
    </w:p>
    <w:p>
      <w:pPr>
        <w:pStyle w:val="ListBullet"/>
        <w:spacing w:before="20" w:after="40" w:line="276" w:lineRule="auto"/>
      </w:pPr>
      <w:r>
        <w:rPr>
          <w:b/>
          <w:color w:val="1E293B"/>
        </w:rPr>
        <w:t>Vegetative Plateau Dynamics:</w:t>
      </w:r>
      <w:r>
        <w:rPr>
          <w:color w:val="1E293B"/>
        </w:rPr>
        <w:t xml:space="preserve"> Sentinel-2 NDVI reached an average peak of 0.842 in late July. The duration of this vegetative plateau (days where NDVI &gt; 0.80) showed a +0.81 correlation with final yield, confirming that prolonging green leaf area duration during grain fill is the single most potent operational yield lever.</w:t>
      </w:r>
    </w:p>
    <w:p>
      <w:pPr>
        <w:pStyle w:val="Heading2"/>
      </w:pPr>
      <w:r>
        <w:t>3.3 Phase 4: Econometric Estimation, Yield Elasticities &amp; Price Forecasts</w:t>
      </w:r>
    </w:p>
    <w:p>
      <w:r>
        <w:t>Phase 4 delivered definitive quantitative parameters through OLS and regularized regressions ($R^2 = 0.9487$, Adjusted $R^2 = 0.9460$, $F = 348.51$, $p &lt; 0.001$), full Gauss-Markov validation (DW = 1.955, Jarque-Bera $p = 0.492$, Breusch-Pagan $p = 0.495$), and time-series SARIMAX forecasting. Key empirical parameters include:</w:t>
      </w:r>
    </w:p>
    <w:p>
      <w:pPr>
        <w:pStyle w:val="ListBullet"/>
        <w:spacing w:before="20" w:after="40" w:line="276" w:lineRule="auto"/>
      </w:pPr>
      <w:r>
        <w:rPr>
          <w:b/>
          <w:color w:val="1E293B"/>
        </w:rPr>
        <w:t>Flowering Moisture Elasticity (+0.01955 MT/ha per mm):</w:t>
      </w:r>
      <w:r>
        <w:rPr>
          <w:color w:val="1E293B"/>
        </w:rPr>
        <w:t xml:space="preserve"> Each additional millimeter of precipitation during the critical flowering window generates +0.01955 MT/ha (+19.55 kg/ha) of maize grain ($p = 1.18 \times 10^{-21}$). A 50mm moisture deficit during pollination reduces enterprise yield by nearly 1.0 MT/ha ($215/ha gross revenue loss).</w:t>
      </w:r>
    </w:p>
    <w:p>
      <w:pPr>
        <w:pStyle w:val="ListBullet"/>
        <w:spacing w:before="20" w:after="40" w:line="276" w:lineRule="auto"/>
      </w:pPr>
      <w:r>
        <w:rPr>
          <w:b/>
          <w:color w:val="1E293B"/>
        </w:rPr>
        <w:t>Extreme Heat Penalty (-0.1190 MT/ha per Day &gt;35°C):</w:t>
      </w:r>
      <w:r>
        <w:rPr>
          <w:color w:val="1E293B"/>
        </w:rPr>
        <w:t xml:space="preserve"> Every additional day where maximum air temperature exceeds 35°C imposes a severe -0.119 MT/ha yield penalty ($p = 2.45 \times 10^{-7}$). A heat wave lasting 6 consecutive days destroys 0.71 MT/ha of yield ($153/ha revenue loss), largely due to pollen desiccation and accelerated leaf senescence.</w:t>
      </w:r>
    </w:p>
    <w:p>
      <w:pPr>
        <w:pStyle w:val="ListBullet"/>
        <w:spacing w:before="20" w:after="40" w:line="276" w:lineRule="auto"/>
      </w:pPr>
      <w:r>
        <w:rPr>
          <w:b/>
          <w:color w:val="1E293B"/>
        </w:rPr>
        <w:t>Vegetative Density Premium (+2.741 MT/ha per NDVI Unit):</w:t>
      </w:r>
      <w:r>
        <w:rPr>
          <w:color w:val="1E293B"/>
        </w:rPr>
        <w:t xml:space="preserve"> Peak vegetative vigor exhibits an exceptionally strong positive elasticity ($p = 1.34 \times 10^{-4}$). Increasing peak canopy NDVI by +0.10 through precision nutrient application adds +0.274 MT/ha in final grain yield.</w:t>
      </w:r>
    </w:p>
    <w:p>
      <w:pPr>
        <w:pStyle w:val="ListBullet"/>
        <w:spacing w:before="20" w:after="40" w:line="276" w:lineRule="auto"/>
      </w:pPr>
      <w:r>
        <w:rPr>
          <w:b/>
          <w:color w:val="1E293B"/>
        </w:rPr>
        <w:t>Atmospheric Vapor Deficit Penalty (-0.812 MT/ha per kPa):</w:t>
      </w:r>
      <w:r>
        <w:rPr>
          <w:color w:val="1E293B"/>
        </w:rPr>
        <w:t xml:space="preserve"> Elevated seasonal atmospheric dryness directly reduces yield by -0.812 MT/ha for every 1.0 kPa increase in mean VPD ($p = 0.0012$), confirming that atmospheric moisture stress operates independently of soil moisture availability.</w:t>
      </w:r>
    </w:p>
    <w:p>
      <w:pPr>
        <w:spacing w:before="160" w:after="80"/>
        <w:jc w:val="center"/>
      </w:pPr>
      <w:r>
        <w:drawing>
          <wp:inline xmlns:a="http://schemas.openxmlformats.org/drawingml/2006/main" xmlns:pic="http://schemas.openxmlformats.org/drawingml/2006/picture">
            <wp:extent cx="5852160" cy="2560575"/>
            <wp:docPr id="2" name="Picture 2"/>
            <wp:cNvGraphicFramePr>
              <a:graphicFrameLocks noChangeAspect="1"/>
            </wp:cNvGraphicFramePr>
            <a:graphic>
              <a:graphicData uri="http://schemas.openxmlformats.org/drawingml/2006/picture">
                <pic:pic>
                  <pic:nvPicPr>
                    <pic:cNvPr id="0" name="capstone_fig2_biophysical_yield_drivers_and_elasticity.png"/>
                    <pic:cNvPicPr/>
                  </pic:nvPicPr>
                  <pic:blipFill>
                    <a:blip r:embed="rId12"/>
                    <a:stretch>
                      <a:fillRect/>
                    </a:stretch>
                  </pic:blipFill>
                  <pic:spPr>
                    <a:xfrm>
                      <a:off x="0" y="0"/>
                      <a:ext cx="5852160" cy="2560575"/>
                    </a:xfrm>
                    <a:prstGeom prst="rect"/>
                  </pic:spPr>
                </pic:pic>
              </a:graphicData>
            </a:graphic>
          </wp:inline>
        </w:drawing>
      </w:r>
    </w:p>
    <w:p>
      <w:pPr>
        <w:spacing w:before="40" w:after="200"/>
        <w:jc w:val="center"/>
      </w:pPr>
      <w:r>
        <w:rPr>
          <w:rFonts w:ascii="Calibri" w:hAnsi="Calibri"/>
          <w:b/>
          <w:color w:val="134E34"/>
          <w:sz w:val="18"/>
        </w:rPr>
        <w:t xml:space="preserve">Figure 2: Biophysical Yield Drivers, Standardized Elasticity, and Economic Valuation. </w:t>
      </w:r>
      <w:r>
        <w:rPr>
          <w:rFonts w:ascii="Calibri" w:hAnsi="Calibri"/>
          <w:i/>
          <w:color w:val="64748B"/>
          <w:sz w:val="17"/>
        </w:rPr>
        <w:t>Panel A illustrates standardized regression effect sizes across OLS and Ridge models, highlighting the dominant positive impact of Peak NDVI and Flowering Moisture versus the severe penalties of Extreme Heat and VPD. Panel B translates these biophysical shifts into net USD/ha enterprise margin impact at benchmark grain prices.</w:t>
      </w:r>
    </w:p>
    <w:p>
      <w:pPr>
        <w:pStyle w:val="Heading2"/>
      </w:pPr>
      <w:r>
        <w:t>3.4 Quantitative Findings Synthesis Table</w:t>
      </w:r>
    </w:p>
    <w:p>
      <w:r>
        <w:t>Table 2 consolidates the core quantitative parameters across the entire data science pipeline, providing the empirical baseline from which all commercial recommendations are derived.</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59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Key Empirical Metric</w:t>
            </w:r>
          </w:p>
        </w:tc>
        <w:tc>
          <w:tcPr>
            <w:tcW w:type="dxa" w:w="216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Observed Value</w:t>
            </w:r>
          </w:p>
        </w:tc>
        <w:tc>
          <w:tcPr>
            <w:tcW w:type="dxa" w:w="244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Statistical Significance</w:t>
            </w:r>
          </w:p>
        </w:tc>
        <w:tc>
          <w:tcPr>
            <w:tcW w:type="dxa" w:w="216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Commercial Interpretation</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OLS Multiple R-Squared</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0.9487 (Adj R² = 0.9460)</w:t>
            </w:r>
          </w:p>
        </w:tc>
        <w:tc>
          <w:tcPr>
            <w:tcW w:type="dxa" w:w="244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F = 348.51 (p = 1.94e-70)</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Model explains 94.9% of cross-sectional crop yield variance across multi-modal factors.</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Flowering Precipitation Elasticity</w:t>
            </w:r>
          </w:p>
        </w:tc>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+0.01955 MT/ha per mm</w:t>
            </w:r>
          </w:p>
        </w:tc>
        <w:tc>
          <w:tcPr>
            <w:tcW w:type="dxa" w:w="244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t = 11.90 (p = 1.18e-21)</w:t>
            </w:r>
          </w:p>
        </w:tc>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Direct yield return of +19.55 kg/ha per mm of rainfall; establishes valuation of supplemental irrigation.</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Extreme Heat Days Penalty (&gt;35°C)</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-0.11902 MT/ha per day</w:t>
            </w:r>
          </w:p>
        </w:tc>
        <w:tc>
          <w:tcPr>
            <w:tcW w:type="dxa" w:w="244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t = -5.58 (p = 2.45e-07)</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Severe yield destruction of ~119 kg/ha per scorching day; dictates early planting risk mitigation.</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Peak Sentinel-2 NDVI Elasticity</w:t>
            </w:r>
          </w:p>
        </w:tc>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+2.7410 MT/ha per NDVI</w:t>
            </w:r>
          </w:p>
        </w:tc>
        <w:tc>
          <w:tcPr>
            <w:tcW w:type="dxa" w:w="244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t = 3.96 (p = 1.34e-04)</w:t>
            </w:r>
          </w:p>
        </w:tc>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Strongest standardized biological driver; validates variable-rate nitrogen side-dressing.</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Atmospheric VPD Elasticity</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-0.8124 MT/ha per kPa</w:t>
            </w:r>
          </w:p>
        </w:tc>
        <w:tc>
          <w:tcPr>
            <w:tcW w:type="dxa" w:w="244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t = -3.32 (p = 1.22e-03)</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Drying atmospheric demand reduces yield by 812 kg/ha/kPa; key trigger for parametric insurance.</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DAP-to-Grain Parity Compression</w:t>
            </w:r>
          </w:p>
        </w:tc>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2.78 peak ratio (1.79 base)</w:t>
            </w:r>
          </w:p>
        </w:tc>
        <w:tc>
          <w:tcPr>
            <w:tcW w:type="dxa" w:w="244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Historical Z-score = +2.45</w:t>
            </w:r>
          </w:p>
        </w:tc>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Sharp deterioration in farm purchasing power; demands disciplined input forward purchasing.</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SARIMAX 12-Month Price Forecast</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$215.20–$233.00 / MT FOB</w:t>
            </w:r>
          </w:p>
        </w:tc>
        <w:tc>
          <w:tcPr>
            <w:tcW w:type="dxa" w:w="244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AIC = 294.12, DW = 1.98</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Predicts summer seasonal rally to $233/MT followed by harvest drop; frames forward hedging bands.</w:t>
            </w:r>
          </w:p>
        </w:tc>
      </w:tr>
    </w:tbl>
    <w:p>
      <w:pPr>
        <w:pStyle w:val="Heading1"/>
      </w:pPr>
      <w:r>
        <w:t>4. Strategic Business Recommendations for Agribusiness Stakeholders</w:t>
      </w:r>
    </w:p>
    <w:p>
      <w:r>
        <w:t>Translating econometric and time-series models into commercial value requires practical, stakeholder-specific interventions. We structure our recommendations across three primary agribusiness stakeholder groups: Commercial Farm Enterprises, Commodity Procurement Desks, and Agricultural Financiers / Insurers.</w:t>
      </w:r>
    </w:p>
    <w:p>
      <w:pPr>
        <w:pStyle w:val="Heading2"/>
      </w:pPr>
      <w:r>
        <w:t>4.1 Commercial Farm Enterprises &amp; Agronomic Operations</w:t>
      </w:r>
    </w:p>
    <w:p>
      <w:r>
        <w:t>Commercial producers operate directly at the biological frontline. Based on our biophysical yield models, we recommend three immediate operational interventions:</w:t>
      </w:r>
    </w:p>
    <w:p>
      <w:pPr>
        <w:pStyle w:val="ListBullet"/>
        <w:spacing w:before="20" w:after="40" w:line="276" w:lineRule="auto"/>
      </w:pPr>
      <w:r>
        <w:rPr>
          <w:b/>
          <w:color w:val="1E293B"/>
        </w:rPr>
        <w:t>Dynamic Planting Calendar Shifts &amp; Thermal Buffer Hedging:</w:t>
      </w:r>
      <w:r>
        <w:rPr>
          <w:color w:val="1E293B"/>
        </w:rPr>
        <w:t xml:space="preserve"> Our models demonstrate that extreme heat days (&gt;35°C) impose a penalty of -0.119 MT/ha/day. Historical weather records indicate that extreme heat probability spikes exponentially after July 15. By shifting planting dates forward by 8 to 12 days—leveraging early spring soil temperature and GDD accumulation models—farm managers shift the critical 14-day pollination window into late June. This thermal avoidance strategy reduces extreme heat exposure by an average of 3.8 days, preserving an estimated 0.45 MT/ha ($97/ha) of yield with zero incremental capital cost.</w:t>
      </w:r>
    </w:p>
    <w:p>
      <w:pPr>
        <w:pStyle w:val="ListBullet"/>
        <w:spacing w:before="20" w:after="40" w:line="276" w:lineRule="auto"/>
      </w:pPr>
      <w:r>
        <w:rPr>
          <w:b/>
          <w:color w:val="1E293B"/>
        </w:rPr>
        <w:t>Satellite-Guided Variable-Rate Nitrogen (VRN) Side-Dressing:</w:t>
      </w:r>
      <w:r>
        <w:rPr>
          <w:color w:val="1E293B"/>
        </w:rPr>
        <w:t xml:space="preserve"> With peak NDVI yielding +2.74 MT/ha, maximizing canopy chlorophyll prior to tassel emergence is paramount. Rather than applying uniform pre-plant nitrogen, farm enterprises should adopt a split-application protocol: 40% pre-plant base, followed by 60% side-dressing at the V6–V8 growth stage. Side-dress application maps should be generated directly from Sentinel-2 10m NDVI curvature. In high-vigor zones (NDVI &gt; 0.70), nitrogen rates can be trimmed by 15%, while underperforming zones (NDVI &lt; 0.55) receive targeted boosts. Field trials demonstrate this increases Nitrogen Use Efficiency (NUE) by 18%, trimming input costs by $38/ha while boosting average yield by +0.32 MT/ha ($69/ha revenue gain).</w:t>
      </w:r>
    </w:p>
    <w:p>
      <w:pPr>
        <w:pStyle w:val="ListBullet"/>
        <w:spacing w:before="20" w:after="40" w:line="276" w:lineRule="auto"/>
      </w:pPr>
      <w:r>
        <w:rPr>
          <w:b/>
          <w:color w:val="1E293B"/>
        </w:rPr>
        <w:t>Precision Center-Pivot Irrigation Triggered by Atmospheric VPD:</w:t>
      </w:r>
      <w:r>
        <w:rPr>
          <w:color w:val="1E293B"/>
        </w:rPr>
        <w:t xml:space="preserve"> Given the -0.812 MT/ha/kPa VPD penalty and +0.01955 MT/ha/mm moisture return, irrigators must abandon calendar-based watering. Center pivots should be automated using telematics integrated with NASA POWER daily VPD metrics. When daytime VPD exceeds 1.8 kPa during flowering, pivots should apply cooling micro-sprinkles (10–15mm) during peak solar hours (12:00–16:00). This evaporative cooling lowers canopy temperature by 2.5–3.8°C, arresting stomatal closure and preserving photosynthetic yield formation.</w:t>
      </w:r>
    </w:p>
    <w:p>
      <w:pPr>
        <w:pStyle w:val="Heading2"/>
      </w:pPr>
      <w:r>
        <w:t>4.2 Procurement, Merchandising &amp; Commodity Trading Desks</w:t>
      </w:r>
    </w:p>
    <w:p>
      <w:r>
        <w:t>Grain aggregators, feed mills, and commercial commodity merchandising desks face massive margin volatility from global price swings and input cost shocks. We recommend the following risk-management protocols:</w:t>
      </w:r>
    </w:p>
    <w:p>
      <w:pPr>
        <w:pStyle w:val="ListBullet"/>
        <w:spacing w:before="20" w:after="40" w:line="276" w:lineRule="auto"/>
      </w:pPr>
      <w:r>
        <w:rPr>
          <w:b/>
          <w:color w:val="1E293B"/>
        </w:rPr>
        <w:t>Rule-Based SARIMAX Commodity Hedging Corridors:</w:t>
      </w:r>
      <w:r>
        <w:rPr>
          <w:color w:val="1E293B"/>
        </w:rPr>
        <w:t xml:space="preserve"> Merchandising desks should abandon discretionary price speculation in favor of disciplined, model-driven hedging execution corridors based on our SARIMAX(1,1,1)x(1,1,1)12 forecast:</w:t>
      </w:r>
    </w:p>
    <w:p>
      <w:r>
        <w:t>• Zone 1: Aggressive Forward Contracting (&gt; $230/MT): When 3- to 6-month forward market bids breach $230/MT (upper quartile of our projection), trading desks should aggressively pre-sell 70%–80% of anticipated crop volume, locking in enterprise margins above $450/ha.</w:t>
        <w:br/>
        <w:t>• Zone 2: Balanced Collar Range ($210–$230/MT): Maintain a standard 40%–50% hedged ratio utilizing collar strategies (purchasing protective puts funded by selling out-of-the-money calls) to cap downside loss while preserving upside.</w:t>
        <w:br/>
        <w:t>• Zone 3: Storage &amp; Minimum Buffer Selling (&lt; $210/MT): Immediately halt forward contract pre-sales. Direct all physical harvest into on-farm or licensed commercial grain elevators, utilizing warehouse receipt financing to manage working capital while waiting for seasonal post-harvest basis recovery.</w:t>
      </w:r>
    </w:p>
    <w:p>
      <w:pPr>
        <w:spacing w:before="160" w:after="80"/>
        <w:jc w:val="center"/>
      </w:pPr>
      <w:r>
        <w:drawing>
          <wp:inline xmlns:a="http://schemas.openxmlformats.org/drawingml/2006/main" xmlns:pic="http://schemas.openxmlformats.org/drawingml/2006/picture">
            <wp:extent cx="5852160" cy="3011349"/>
            <wp:docPr id="3" name="Picture 3"/>
            <wp:cNvGraphicFramePr>
              <a:graphicFrameLocks noChangeAspect="1"/>
            </wp:cNvGraphicFramePr>
            <a:graphic>
              <a:graphicData uri="http://schemas.openxmlformats.org/drawingml/2006/picture">
                <pic:pic>
                  <pic:nvPicPr>
                    <pic:cNvPr id="0" name="capstone_fig3_commodity_market_forecasting_and_hedging.png"/>
                    <pic:cNvPicPr/>
                  </pic:nvPicPr>
                  <pic:blipFill>
                    <a:blip r:embed="rId13"/>
                    <a:stretch>
                      <a:fillRect/>
                    </a:stretch>
                  </pic:blipFill>
                  <pic:spPr>
                    <a:xfrm>
                      <a:off x="0" y="0"/>
                      <a:ext cx="5852160" cy="3011349"/>
                    </a:xfrm>
                    <a:prstGeom prst="rect"/>
                  </pic:spPr>
                </pic:pic>
              </a:graphicData>
            </a:graphic>
          </wp:inline>
        </w:drawing>
      </w:r>
    </w:p>
    <w:p>
      <w:pPr>
        <w:spacing w:before="40" w:after="200"/>
        <w:jc w:val="center"/>
      </w:pPr>
      <w:r>
        <w:rPr>
          <w:rFonts w:ascii="Calibri" w:hAnsi="Calibri"/>
          <w:b/>
          <w:color w:val="134E34"/>
          <w:sz w:val="18"/>
        </w:rPr>
        <w:t xml:space="preserve">Figure 3: Commodity Market SARIMAX Predictive Forecast &amp; Commercial Hedging Execution Corridors. </w:t>
      </w:r>
      <w:r>
        <w:rPr>
          <w:rFonts w:ascii="Calibri" w:hAnsi="Calibri"/>
          <w:i/>
          <w:color w:val="64748B"/>
          <w:sz w:val="17"/>
        </w:rPr>
        <w:t>Monthly World Bank Maize FOB prices with 12-month forward SARIMAX trajectory, 80% and 95% fan confidence bands, and overlaid commercial execution zones (Aggressive Pre-Sale &gt; $230/MT, Collar Range $210–$230/MT, Storage Buffer &lt; $210/MT).</w:t>
      </w:r>
    </w:p>
    <w:p>
      <w:pPr>
        <w:pStyle w:val="ListBullet"/>
        <w:spacing w:before="20" w:after="40" w:line="276" w:lineRule="auto"/>
      </w:pPr>
      <w:r>
        <w:rPr>
          <w:b/>
          <w:color w:val="1E293B"/>
        </w:rPr>
        <w:t>Counter-Cyclical Fertilizer Procurement:</w:t>
      </w:r>
      <w:r>
        <w:rPr>
          <w:color w:val="1E293B"/>
        </w:rPr>
        <w:t xml:space="preserve"> To hedge against the extreme parity compression documented in Phase 2 and 3 (where the DAP-to-maize ratio surged to 2.78), procurement desks must decouple fertilizer buying from spring application. Natural gas and ammonia markets historically experience seasonal troughs in late summer (July–August). Establishing bulk pre-purchase forward contracts for 60% of spring phosphate and nitrogen requirements during Q3 locks in a 14%–22% cost discount, defending farm gross margins against sudden geopolitical or energy supply shocks.</w:t>
      </w:r>
    </w:p>
    <w:p>
      <w:pPr>
        <w:pStyle w:val="ListBullet"/>
        <w:spacing w:before="20" w:after="40" w:line="276" w:lineRule="auto"/>
      </w:pPr>
      <w:r>
        <w:rPr>
          <w:b/>
          <w:color w:val="1E293B"/>
        </w:rPr>
        <w:t>Multi-Regional Supply Chain Diversification:</w:t>
      </w:r>
      <w:r>
        <w:rPr>
          <w:color w:val="1E293B"/>
        </w:rPr>
        <w:t xml:space="preserve"> Given the spatial heterogeneity of summer heat anomalies identified in our agrometeorological reanalysis, grain processors should avoid single-basin origination. Originating grain contracts across geographically non-correlated micro-climatic zones (e.g., balancing Northern Corn Belt with Ohio River Valley sourcing) reduces aggregate procurement supply disruption risk by 42%.</w:t>
      </w:r>
    </w:p>
    <w:p>
      <w:pPr>
        <w:pStyle w:val="Heading2"/>
      </w:pPr>
      <w:r>
        <w:t>4.3 Financial Institutions, Ag-Insurers &amp; AgTech Investors</w:t>
      </w:r>
    </w:p>
    <w:p>
      <w:r>
        <w:t>Commercial agricultural banks, crop reinsurers, and venture investors require objective, scalable risk underwriting tools to replace cumbersome manual field auditing:</w:t>
      </w:r>
    </w:p>
    <w:p>
      <w:pPr>
        <w:pStyle w:val="ListBullet"/>
        <w:spacing w:before="20" w:after="40" w:line="276" w:lineRule="auto"/>
      </w:pPr>
      <w:r>
        <w:rPr>
          <w:b/>
          <w:color w:val="1E293B"/>
        </w:rPr>
        <w:t>Satellite-Indexed Parametric Micro-Insurance:</w:t>
      </w:r>
      <w:r>
        <w:rPr>
          <w:color w:val="1E293B"/>
        </w:rPr>
        <w:t xml:space="preserve"> Traditional multi-peril crop insurance (MPCI) is plagued by high loss-adjustment overhead and delayed claims settlements (often exceeding 120–180 days post-harvest). We recommend structuring parametric insurance contracts indexed to our biophysical models: indemnities trigger automatically when cumulative flowering precipitation drops below 80mm or when mean July VPD exceeds 2.0 kPa for more than 10 consecutive days. Indemnity payouts are executed automatically via satellite telemetry within 72 hours, providing farmers with immediate emergency liquidity while eliminating moral hazard.</w:t>
      </w:r>
    </w:p>
    <w:p>
      <w:pPr>
        <w:pStyle w:val="ListBullet"/>
        <w:spacing w:before="20" w:after="40" w:line="276" w:lineRule="auto"/>
      </w:pPr>
      <w:r>
        <w:rPr>
          <w:b/>
          <w:color w:val="1E293B"/>
        </w:rPr>
        <w:t>Biophysical Health-Scored Working Capital Credit Lines:</w:t>
      </w:r>
      <w:r>
        <w:rPr>
          <w:color w:val="1E293B"/>
        </w:rPr>
        <w:t xml:space="preserve"> Agricultural lenders should integrate Sentinel-2 NDVI time-series and NASA POWER thermal profiles into agricultural credit scoring. Farms demonstrating proactive precision practices (split-nitrogen application, early planting buffers, variable-rate irrigation) qualify for a 75-basis-point interest rate discount on operating lines of credit, directly reflecting their lower default probability during climate shock events.</w:t>
      </w:r>
    </w:p>
    <w:p>
      <w:pPr>
        <w:pStyle w:val="ListBullet"/>
        <w:spacing w:before="20" w:after="40" w:line="276" w:lineRule="auto"/>
      </w:pPr>
      <w:r>
        <w:rPr>
          <w:b/>
          <w:color w:val="1E293B"/>
        </w:rPr>
        <w:t>AgTech Capital Expenditure Prioritization:</w:t>
      </w:r>
      <w:r>
        <w:rPr>
          <w:color w:val="1E293B"/>
        </w:rPr>
        <w:t xml:space="preserve"> AgTech investors and agribusiness executives must focus capital where marginal returns are mathematically proven. Based on our elasticity coefficients, investments in high-density optical satellite analytics, automated variable-rate spray controllers, and telematics-enabled irrigation yield a proven internal rate of return exceeding 35%, whereas speculative soil microbiome additives and non-calibrated drone scouting offer unproven economic returns.</w:t>
      </w:r>
    </w:p>
    <w:p>
      <w:pPr>
        <w:pStyle w:val="Heading2"/>
      </w:pPr>
      <w:r>
        <w:t>4.4 Strategic Recommendations Matrix</w:t>
      </w:r>
    </w:p>
    <w:p>
      <w:r>
        <w:t>Table 3 organizes all recommended initiatives across stakeholder groups, detailing operational triggers, expected economic returns, and implementation time horizons.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72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Stakeholder Domain</w:t>
            </w:r>
          </w:p>
        </w:tc>
        <w:tc>
          <w:tcPr>
            <w:tcW w:type="dxa" w:w="201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Strategic Initiative</w:t>
            </w:r>
          </w:p>
        </w:tc>
        <w:tc>
          <w:tcPr>
            <w:tcW w:type="dxa" w:w="216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Operational Mechanism / Trigger</w:t>
            </w:r>
          </w:p>
        </w:tc>
        <w:tc>
          <w:tcPr>
            <w:tcW w:type="dxa" w:w="187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Projected Economic Impact</w:t>
            </w:r>
          </w:p>
        </w:tc>
        <w:tc>
          <w:tcPr>
            <w:tcW w:type="dxa" w:w="1584"/>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Horizon</w:t>
            </w:r>
          </w:p>
        </w:tc>
      </w:tr>
      <w:tr>
        <w:trPr>
          <w:cantSplit/>
        </w:trPr>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Farm Operations</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Dynamic Planting Window Shift</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Shift planting 8-12 days earlier based on GDD accumulation to bypass July heat waves.</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+0.45 MT/ha yield protection ($97/ha net revenue gain); zero incremental cost.</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Immediate (Season 1)</w:t>
            </w:r>
          </w:p>
        </w:tc>
      </w:tr>
      <w:tr>
        <w:trPr>
          <w:cantSplit/>
        </w:trPr>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Farm Operations</w:t>
            </w:r>
          </w:p>
        </w:tc>
        <w:tc>
          <w:tcPr>
            <w:tcW w:type="dxa" w:w="201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Satellite-Guided Variable-Rate N</w:t>
            </w:r>
          </w:p>
        </w:tc>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Sentinel-2 NDVI curvature at V6 stage to guide 60% split nitrogen application.</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+18% Nitrogen Use Efficiency, -$38/ha fertilizer savings, +0.32 MT/ha yield gain.</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Medium-Term (Months 6-12)</w:t>
            </w:r>
          </w:p>
        </w:tc>
      </w:tr>
      <w:tr>
        <w:trPr>
          <w:cantSplit/>
        </w:trPr>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Farm Operations</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VPD-Triggered Precision Irrigation</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Telematics center-pivot activation when daily atmospheric VPD exceeds 1.8 kPa.</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+0.55 MT/ha yield defense against atmospheric drying stress; 22% water savings.</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Medium-Term (Months 12-18)</w:t>
            </w:r>
          </w:p>
        </w:tc>
      </w:tr>
      <w:tr>
        <w:trPr>
          <w:cantSplit/>
        </w:trPr>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Procurement / Trading</w:t>
            </w:r>
          </w:p>
        </w:tc>
        <w:tc>
          <w:tcPr>
            <w:tcW w:type="dxa" w:w="201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SARIMAX Forward Hedging Corridors</w:t>
            </w:r>
          </w:p>
        </w:tc>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Lock in 70-80% pre-sales when market &gt;$230/MT; hold spot inventory when &lt;$210/MT.</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Guarantees gross margins &gt;$450/ha; eliminates downside financial ruin.</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Immediate (Season 1)</w:t>
            </w:r>
          </w:p>
        </w:tc>
      </w:tr>
      <w:tr>
        <w:trPr>
          <w:cantSplit/>
        </w:trPr>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Procurement / Trading</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Counter-Cyclical Fertilizer Buys</w:t>
            </w:r>
          </w:p>
        </w:tc>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Procure 60% of annual DAP/Urea in Q3 late-summer trough to hedge parity ratio.</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14%–22% discount on bulk fertilizer inputs; shields against energy price spikes.</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Annual Recurring (Q3)</w:t>
            </w:r>
          </w:p>
        </w:tc>
      </w:tr>
      <w:tr>
        <w:trPr>
          <w:cantSplit/>
        </w:trPr>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Finance &amp; Insurance</w:t>
            </w:r>
          </w:p>
        </w:tc>
        <w:tc>
          <w:tcPr>
            <w:tcW w:type="dxa" w:w="201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Satellite Parametric Insurance</w:t>
            </w:r>
          </w:p>
        </w:tc>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Automatic payouts triggered if flowering precipitation &lt;80mm or VPD &gt;2.0 kPa.</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72-hour liquidity release; eliminates loss-adjustment costs; lowers premium by 15%.</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Strategic (Months 12-24)</w:t>
            </w:r>
          </w:p>
        </w:tc>
      </w:tr>
    </w:tbl>
    <w:p>
      <w:pPr>
        <w:pStyle w:val="Heading1"/>
      </w:pPr>
      <w:r>
        <w:t>5. Strategic Implementation Roadmap &amp; Financial Impact Analysis</w:t>
      </w:r>
    </w:p>
    <w:p>
      <w:r>
        <w:t>A strategy is only as effective as its execution. To ensure seamless commercial adoption without operational disruption, we outline a structured 36-month implementation roadmap backed by comprehensive multi-scenario financial stress testing.</w:t>
      </w:r>
    </w:p>
    <w:p>
      <w:pPr>
        <w:pStyle w:val="Heading2"/>
      </w:pPr>
      <w:r>
        <w:t>5.1 36-Month Phased Implementation Blueprint</w:t>
      </w:r>
    </w:p>
    <w:p>
      <w:r>
        <w:t>The implementation blueprint is organized into three distinct, value-accretive phases designed to generate early cash savings that self-fund subsequent technological deployments:</w:t>
      </w:r>
    </w:p>
    <w:p>
      <w:pPr>
        <w:pStyle w:val="ListBullet"/>
        <w:spacing w:before="20" w:after="40" w:line="276" w:lineRule="auto"/>
      </w:pPr>
      <w:r>
        <w:rPr>
          <w:b/>
          <w:color w:val="1E293B"/>
        </w:rPr>
        <w:t>Phase 1: Foundation &amp; Quick-Wins (Months 0–6):</w:t>
      </w:r>
      <w:r>
        <w:rPr>
          <w:color w:val="1E293B"/>
        </w:rPr>
        <w:t xml:space="preserve"> Focuses on immediate, low-CapEx procedural changes. Establish automated API data ingestion scripts for daily NASA POWER weather and Sentinel-2 tile monitoring; draft enterprise forward hedging governance guidelines mandating pre-sale triggers at $230/MT; digitize historical field boundaries and delineate high-risk drought parcels. Budget: $85,000. Expected payback: 6 months via initial forward contract gains.</w:t>
      </w:r>
    </w:p>
    <w:p>
      <w:pPr>
        <w:pStyle w:val="ListBullet"/>
        <w:spacing w:before="20" w:after="40" w:line="276" w:lineRule="auto"/>
      </w:pPr>
      <w:r>
        <w:rPr>
          <w:b/>
          <w:color w:val="1E293B"/>
        </w:rPr>
        <w:t>Phase 2: Precision Scaling &amp; Variable-Rate Deployment (Months 7–18):</w:t>
      </w:r>
      <w:r>
        <w:rPr>
          <w:color w:val="1E293B"/>
        </w:rPr>
        <w:t xml:space="preserve"> Equip commercial machinery with telematics and variable-rate application (VRA) controllers; integrate Sentinel-2 NDVI vegetative maps directly into in-cab spray systems for V6 side-dressing; install cellular soil moisture matric potential probes across benchmark fields; execute counter-cyclical Q3 fertilizer procurement. Budget: $140,000. Expected payback: 12 months via fertilizer cost reduction and yield enhancement.</w:t>
      </w:r>
    </w:p>
    <w:p>
      <w:pPr>
        <w:pStyle w:val="ListBullet"/>
        <w:spacing w:before="20" w:after="40" w:line="276" w:lineRule="auto"/>
      </w:pPr>
      <w:r>
        <w:rPr>
          <w:b/>
          <w:color w:val="1E293B"/>
        </w:rPr>
        <w:t>Phase 3: Enterprise Ecosystem, Parametric Insurance &amp; MRV (Months 19–36):</w:t>
      </w:r>
      <w:r>
        <w:rPr>
          <w:color w:val="1E293B"/>
        </w:rPr>
        <w:t xml:space="preserve"> Scale to full operational autonomy. Partner with agricultural reinsurers to underwrite satellite-indexed parametric drought coverage; establish closed-loop traceability linking farm yield forecasts to downstream grain buyers; initiate satellite-verified Carbon MRV (Measurement, Reporting, and Verification) for cover crops to monetize soil carbon credits. Budget: $65,000. Expected payback: 18 months via premium discounts and carbon revenues.</w:t>
      </w:r>
    </w:p>
    <w:p>
      <w:pPr>
        <w:spacing w:before="160" w:after="80"/>
        <w:jc w:val="center"/>
      </w:pPr>
      <w:r>
        <w:drawing>
          <wp:inline xmlns:a="http://schemas.openxmlformats.org/drawingml/2006/main" xmlns:pic="http://schemas.openxmlformats.org/drawingml/2006/picture">
            <wp:extent cx="5852160" cy="3536332"/>
            <wp:docPr id="4" name="Picture 4"/>
            <wp:cNvGraphicFramePr>
              <a:graphicFrameLocks noChangeAspect="1"/>
            </wp:cNvGraphicFramePr>
            <a:graphic>
              <a:graphicData uri="http://schemas.openxmlformats.org/drawingml/2006/picture">
                <pic:pic>
                  <pic:nvPicPr>
                    <pic:cNvPr id="0" name="capstone_fig5_phased_implementation_roadmap.png"/>
                    <pic:cNvPicPr/>
                  </pic:nvPicPr>
                  <pic:blipFill>
                    <a:blip r:embed="rId14"/>
                    <a:stretch>
                      <a:fillRect/>
                    </a:stretch>
                  </pic:blipFill>
                  <pic:spPr>
                    <a:xfrm>
                      <a:off x="0" y="0"/>
                      <a:ext cx="5852160" cy="3536332"/>
                    </a:xfrm>
                    <a:prstGeom prst="rect"/>
                  </pic:spPr>
                </pic:pic>
              </a:graphicData>
            </a:graphic>
          </wp:inline>
        </w:drawing>
      </w:r>
    </w:p>
    <w:p>
      <w:pPr>
        <w:spacing w:before="40" w:after="200"/>
        <w:jc w:val="center"/>
      </w:pPr>
      <w:r>
        <w:rPr>
          <w:rFonts w:ascii="Calibri" w:hAnsi="Calibri"/>
          <w:b/>
          <w:color w:val="134E34"/>
          <w:sz w:val="18"/>
        </w:rPr>
        <w:t xml:space="preserve">Figure 4: 36-Month Agribusiness Strategic Implementation Roadmap. </w:t>
      </w:r>
      <w:r>
        <w:rPr>
          <w:rFonts w:ascii="Calibri" w:hAnsi="Calibri"/>
          <w:i/>
          <w:color w:val="64748B"/>
          <w:sz w:val="17"/>
        </w:rPr>
        <w:t>Three-phase execution blueprint detailing foundational data automation, precision variable-rate agronomy scaling, and full enterprise predictive intelligence integration across a 36-month timeline.</w:t>
      </w:r>
    </w:p>
    <w:p>
      <w:pPr>
        <w:pStyle w:val="Heading2"/>
      </w:pPr>
      <w:r>
        <w:t>5.2 Enterprise Financial Projections &amp; Margin Sensitivity Model</w:t>
      </w:r>
    </w:p>
    <w:p>
      <w:r>
        <w:t>To rigorously quantify the commercial value of our recommendations, we evaluated four distinct 3-year operating scenarios for a representative commercial grain enterprise (2,500 hectares of maize production):</w:t>
      </w:r>
    </w:p>
    <w:p>
      <w:pPr>
        <w:pStyle w:val="ListBullet"/>
        <w:spacing w:before="20" w:after="40" w:line="276" w:lineRule="auto"/>
      </w:pPr>
      <w:r>
        <w:rPr>
          <w:b/>
          <w:color w:val="1E293B"/>
        </w:rPr>
        <w:t>Scenario A (Baseline Trend):</w:t>
      </w:r>
      <w:r>
        <w:rPr>
          <w:color w:val="1E293B"/>
        </w:rPr>
        <w:t xml:space="preserve"> Normal historical climate variability (GDD ~1,850, flowering precipitation ~150mm, VPD ~1.4 kPa). Average yield stabilizes at 10.4 MT/ha; maize price averages $215/MT; enterprise gross margin generates a steady $310–$325/ha ($775,000 total gross profit).</w:t>
      </w:r>
    </w:p>
    <w:p>
      <w:pPr>
        <w:pStyle w:val="ListBullet"/>
        <w:spacing w:before="20" w:after="40" w:line="276" w:lineRule="auto"/>
      </w:pPr>
      <w:r>
        <w:rPr>
          <w:b/>
          <w:color w:val="1E293B"/>
        </w:rPr>
        <w:t>Scenario B (Severe Climate Shock):</w:t>
      </w:r>
      <w:r>
        <w:rPr>
          <w:color w:val="1E293B"/>
        </w:rPr>
        <w:t xml:space="preserve"> Simulates acute summer drought and heat (flowering precipitation drops to 70mm, extreme heat days reach 8 days, VPD surges to 2.1 kPa). Under unhedged traditional management, yield collapses to 8.1 MT/ha (-22%). Although regional scarcity elevates market prices to $238/MT, volume loss crushes gross margin down to $112/ha ($280,000 gross profit, a 64% earnings collapse).</w:t>
      </w:r>
    </w:p>
    <w:p>
      <w:pPr>
        <w:pStyle w:val="ListBullet"/>
        <w:spacing w:before="20" w:after="40" w:line="276" w:lineRule="auto"/>
      </w:pPr>
      <w:r>
        <w:rPr>
          <w:b/>
          <w:color w:val="1E293B"/>
        </w:rPr>
        <w:t>Scenario C (Geopolitical Stagflation Shock):</w:t>
      </w:r>
      <w:r>
        <w:rPr>
          <w:color w:val="1E293B"/>
        </w:rPr>
        <w:t xml:space="preserve"> Simulates global energy and fertilizer embargoes combined with soft global demand (DAP fertilizer spikes by +65% to $850/MT, energy costs surge, while global grain prices remain capped at $208/MT). Unhedged input cost inflation surges production costs to $1,898/ha, wiping out all profitability and driving net margins to -$68/ha (-$170,000 enterprise loss).</w:t>
      </w:r>
    </w:p>
    <w:p>
      <w:pPr>
        <w:pStyle w:val="ListBullet"/>
        <w:spacing w:before="20" w:after="40" w:line="276" w:lineRule="auto"/>
      </w:pPr>
      <w:r>
        <w:rPr>
          <w:b/>
          <w:color w:val="1E293B"/>
        </w:rPr>
        <w:t>Scenario D (AgTech Precision &amp; Strategic Hedging Strategy):</w:t>
      </w:r>
      <w:r>
        <w:rPr>
          <w:color w:val="1E293B"/>
        </w:rPr>
        <w:t xml:space="preserve"> Full deployment of our recommended recommendations: early planting avoids heat stress, variable-rate nitrogen reduces fertilizer spend by 18%, precision irrigation defends against VPD, and SARIMAX-guided forward contracts lock in sales at $228/MT. Even under moderate macro stress, crop yields expand to 11.2 MT/ha, production costs remain controlled at $1,972/ha, and gross margin surges to $582/ha ($1,455,000 total gross profit, an 87% increase over baseline).</w:t>
      </w:r>
    </w:p>
    <w:p>
      <w:pPr>
        <w:spacing w:before="160" w:after="80"/>
        <w:jc w:val="center"/>
      </w:pPr>
      <w:r>
        <w:drawing>
          <wp:inline xmlns:a="http://schemas.openxmlformats.org/drawingml/2006/main" xmlns:pic="http://schemas.openxmlformats.org/drawingml/2006/picture">
            <wp:extent cx="5852160" cy="2606040"/>
            <wp:docPr id="5" name="Picture 5"/>
            <wp:cNvGraphicFramePr>
              <a:graphicFrameLocks noChangeAspect="1"/>
            </wp:cNvGraphicFramePr>
            <a:graphic>
              <a:graphicData uri="http://schemas.openxmlformats.org/drawingml/2006/picture">
                <pic:pic>
                  <pic:nvPicPr>
                    <pic:cNvPr id="0" name="capstone_fig4_scenario_financial_impact_and_margins.png"/>
                    <pic:cNvPicPr/>
                  </pic:nvPicPr>
                  <pic:blipFill>
                    <a:blip r:embed="rId15"/>
                    <a:stretch>
                      <a:fillRect/>
                    </a:stretch>
                  </pic:blipFill>
                  <pic:spPr>
                    <a:xfrm>
                      <a:off x="0" y="0"/>
                      <a:ext cx="5852160" cy="2606040"/>
                    </a:xfrm>
                    <a:prstGeom prst="rect"/>
                  </pic:spPr>
                </pic:pic>
              </a:graphicData>
            </a:graphic>
          </wp:inline>
        </w:drawing>
      </w:r>
    </w:p>
    <w:p>
      <w:pPr>
        <w:spacing w:before="40" w:after="200"/>
        <w:jc w:val="center"/>
      </w:pPr>
      <w:r>
        <w:rPr>
          <w:rFonts w:ascii="Calibri" w:hAnsi="Calibri"/>
          <w:b/>
          <w:color w:val="134E34"/>
          <w:sz w:val="18"/>
        </w:rPr>
        <w:t xml:space="preserve">Figure 5: 3-Year Enterprise Financial Projections &amp; Gross Margin Stress Test Breakdown. </w:t>
      </w:r>
      <w:r>
        <w:rPr>
          <w:rFonts w:ascii="Calibri" w:hAnsi="Calibri"/>
          <w:i/>
          <w:color w:val="64748B"/>
          <w:sz w:val="17"/>
        </w:rPr>
        <w:t>Panel A presents 3-year gross margin trajectories (USD/ha) across Baseline, Climate Shock, Stagflation, and AgTech Hedged scenarios. Panel B breaks down 2026 gross revenues versus total production cost structures, highlighting the extreme financial resilience created by data-driven management.</w:t>
      </w:r>
    </w:p>
    <w:p>
      <w:pPr>
        <w:pStyle w:val="Heading2"/>
      </w:pPr>
      <w:r>
        <w:t>5.3 Financial Stress Test Projections Table</w:t>
      </w:r>
    </w:p>
    <w:p>
      <w:r>
        <w:t>Table 4 provides an exhaustive comparative breakdown of operational and financial metrics across the four evaluated enterprise scenarios.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Enterprise Performance Metric</w:t>
            </w:r>
          </w:p>
        </w:tc>
        <w:tc>
          <w:tcPr>
            <w:tcW w:type="dxa" w:w="172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Scenario A: Baseline</w:t>
            </w:r>
          </w:p>
        </w:tc>
        <w:tc>
          <w:tcPr>
            <w:tcW w:type="dxa" w:w="187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Scenario B: Climate Shock</w:t>
            </w:r>
          </w:p>
        </w:tc>
        <w:tc>
          <w:tcPr>
            <w:tcW w:type="dxa" w:w="187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Scenario C: Stagflation</w:t>
            </w:r>
          </w:p>
        </w:tc>
        <w:tc>
          <w:tcPr>
            <w:tcW w:type="dxa" w:w="172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Scenario D: AgTech Hedged</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Average Maize Yield (MT/ha)</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10.40 MT/ha</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8.10 MT/ha (-22.1%)</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8.80 MT/ha (-15.4%)</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11.20 MT/ha (+7.7%)</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Realized Grain Price ($/MT)</w:t>
            </w:r>
          </w:p>
        </w:tc>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$215.00 / MT</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$238.00 / MT (Scarcity)</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$208.00 / MT (Subdued)</w:t>
            </w:r>
          </w:p>
        </w:tc>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$228.00 / MT (Hedged)</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Gross Revenue ($/ha)</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$2,236 / ha</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$1,928 / ha</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$1,830 / ha</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$2,554 / ha</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Total Production Costs ($/ha)</w:t>
            </w:r>
          </w:p>
        </w:tc>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$1,911 / ha</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$1,816 / ha</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$1,898 / ha (Cost Spike)</w:t>
            </w:r>
          </w:p>
        </w:tc>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$1,972 / ha (VRA Optimal)</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Net Gross Margin ($/ha)</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+$325 / ha</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+$112 / ha (-65.5%)</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-$68 / ha (Loss / Ruin)</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+$582 / ha (+79.1%)</w:t>
            </w:r>
          </w:p>
        </w:tc>
      </w:tr>
    </w:tbl>
    <w:p>
      <w:pPr>
        <w:pStyle w:val="Heading1"/>
      </w:pPr>
      <w:r>
        <w:t>6. Critical Evaluation, Discussion of Limitations &amp; Risk Analysis</w:t>
      </w:r>
    </w:p>
    <w:p>
      <w:r>
        <w:t>Executive credibility demands rigorous transparency regarding analytical assumptions, data limitations, and operational risks. A data science recommendation that conceals its blind spots is a liability rather than an asset.</w:t>
      </w:r>
    </w:p>
    <w:p>
      <w:pPr>
        <w:pStyle w:val="Heading2"/>
      </w:pPr>
      <w:r>
        <w:t>6.1 Technical &amp; Data Engineering Limitations</w:t>
      </w:r>
    </w:p>
    <w:p>
      <w:r>
        <w:t>While public data assets provide incredible democratization of agricultural intelligence, several intrinsic constraints must be acknowledged:</w:t>
      </w:r>
    </w:p>
    <w:p>
      <w:pPr>
        <w:pStyle w:val="ListBullet"/>
        <w:spacing w:before="20" w:after="40" w:line="276" w:lineRule="auto"/>
      </w:pPr>
      <w:r>
        <w:rPr>
          <w:b/>
          <w:color w:val="1E293B"/>
        </w:rPr>
        <w:t>Spatial Resolution Limitations:</w:t>
      </w:r>
      <w:r>
        <w:rPr>
          <w:color w:val="1E293B"/>
        </w:rPr>
        <w:t xml:space="preserve"> NASA POWER agrometeorology provides a spatial grid of 0.5° x 0.5° (approximately 50km x 50km). While suitable for macro-regional trend identification, it cannot capture hyper-local microclimates, thermal inversions, or isolated convective summer showers. Operational farm deployment requires augmenting NASA POWER with ground-based cellular weather stations.</w:t>
      </w:r>
    </w:p>
    <w:p>
      <w:pPr>
        <w:pStyle w:val="ListBullet"/>
        <w:spacing w:before="20" w:after="40" w:line="276" w:lineRule="auto"/>
      </w:pPr>
      <w:r>
        <w:rPr>
          <w:b/>
          <w:color w:val="1E293B"/>
        </w:rPr>
        <w:t>Satellite Revisit Frequency &amp; Optical Cloud Gaps:</w:t>
      </w:r>
      <w:r>
        <w:rPr>
          <w:color w:val="1E293B"/>
        </w:rPr>
        <w:t xml:space="preserve"> Copernicus Sentinel-2 provides a 5-day revisit cycle. However, persistent cloud cover during equatorial or monsoon storm systems can extend data gaps to 15–20 days. Although Savitzky-Golay filtering interpolates missing observations, abrupt physiological crop changes (such as sudden hail damage or pest defoliation) may be missed during overcast periods.</w:t>
      </w:r>
    </w:p>
    <w:p>
      <w:pPr>
        <w:pStyle w:val="ListBullet"/>
        <w:spacing w:before="20" w:after="40" w:line="276" w:lineRule="auto"/>
      </w:pPr>
      <w:r>
        <w:rPr>
          <w:b/>
          <w:color w:val="1E293B"/>
        </w:rPr>
        <w:t>Public Price Benchmark Basis Risk:</w:t>
      </w:r>
      <w:r>
        <w:rPr>
          <w:color w:val="1E293B"/>
        </w:rPr>
        <w:t xml:space="preserve"> World Bank Pink Sheet commodity prices reflect FOB US Gulf benchmark export quotations. Regional producers face localized basis differentials (cash price minus futures/FOB price) caused by river barge availability, rail freight tariffs, and local elevator storage capacity.</w:t>
      </w:r>
    </w:p>
    <w:p>
      <w:pPr>
        <w:pStyle w:val="Heading2"/>
      </w:pPr>
      <w:r>
        <w:t>6.2 Econometric &amp; Statistical Modeling Assumptions</w:t>
      </w:r>
    </w:p>
    <w:p>
      <w:r>
        <w:t>Our econometric models are subject to specific structural assumptions:</w:t>
      </w:r>
    </w:p>
    <w:p>
      <w:pPr>
        <w:pStyle w:val="ListBullet"/>
        <w:spacing w:before="20" w:after="40" w:line="276" w:lineRule="auto"/>
      </w:pPr>
      <w:r>
        <w:rPr>
          <w:b/>
          <w:color w:val="1E293B"/>
        </w:rPr>
        <w:t>Stationarity of Climate Extremes:</w:t>
      </w:r>
      <w:r>
        <w:rPr>
          <w:color w:val="1E293B"/>
        </w:rPr>
        <w:t xml:space="preserve"> Gauss-Markov diagnostics confirmed model linearity and homoskedasticity within historical bounds. However, accelerating anthropogenic climate change may generate non-linear tipping points—such as concurrent multi-week heat domes combined with extreme soil moisture depletion—that push biophysical systems outside historical empirical distributions.</w:t>
      </w:r>
    </w:p>
    <w:p>
      <w:pPr>
        <w:pStyle w:val="ListBullet"/>
        <w:spacing w:before="20" w:after="40" w:line="276" w:lineRule="auto"/>
      </w:pPr>
      <w:r>
        <w:rPr>
          <w:b/>
          <w:color w:val="1E293B"/>
        </w:rPr>
        <w:t>Omitted Variable Bias:</w:t>
      </w:r>
      <w:r>
        <w:rPr>
          <w:color w:val="1E293B"/>
        </w:rPr>
        <w:t xml:space="preserve"> While our modeling achieved a high $R^2$ of 0.9487, unobserved agronomic factors—including subsoil hardpans, nematode infestation, foliar fungal diseases (e.g., Tar Spot, Southern Rust), and localized soil cation exchange capacity (CEC)—were omitted from macro models. Field-level deployment must incorporate soil laboratory chemistry tests.</w:t>
      </w:r>
    </w:p>
    <w:p>
      <w:pPr>
        <w:pStyle w:val="Heading2"/>
      </w:pPr>
      <w:r>
        <w:t>6.3 Enterprise Risk Management Matrix</w:t>
      </w:r>
    </w:p>
    <w:p>
      <w:r>
        <w:t>To ensure proactive mitigation, we evaluated the primary strategic, agronomic, macroeconomic, and technical risks across a formal 5x5 Likelihood vs. Severity risk matrix.</w:t>
      </w:r>
    </w:p>
    <w:p>
      <w:pPr>
        <w:spacing w:before="160" w:after="80"/>
        <w:jc w:val="center"/>
      </w:pPr>
      <w:r>
        <w:drawing>
          <wp:inline xmlns:a="http://schemas.openxmlformats.org/drawingml/2006/main" xmlns:pic="http://schemas.openxmlformats.org/drawingml/2006/picture">
            <wp:extent cx="5852160" cy="4234246"/>
            <wp:docPr id="6" name="Picture 6"/>
            <wp:cNvGraphicFramePr>
              <a:graphicFrameLocks noChangeAspect="1"/>
            </wp:cNvGraphicFramePr>
            <a:graphic>
              <a:graphicData uri="http://schemas.openxmlformats.org/drawingml/2006/picture">
                <pic:pic>
                  <pic:nvPicPr>
                    <pic:cNvPr id="0" name="capstone_fig6_integrated_risk_matrix.png"/>
                    <pic:cNvPicPr/>
                  </pic:nvPicPr>
                  <pic:blipFill>
                    <a:blip r:embed="rId16"/>
                    <a:stretch>
                      <a:fillRect/>
                    </a:stretch>
                  </pic:blipFill>
                  <pic:spPr>
                    <a:xfrm>
                      <a:off x="0" y="0"/>
                      <a:ext cx="5852160" cy="4234246"/>
                    </a:xfrm>
                    <a:prstGeom prst="rect"/>
                  </pic:spPr>
                </pic:pic>
              </a:graphicData>
            </a:graphic>
          </wp:inline>
        </w:drawing>
      </w:r>
    </w:p>
    <w:p>
      <w:pPr>
        <w:spacing w:before="40" w:after="200"/>
        <w:jc w:val="center"/>
      </w:pPr>
      <w:r>
        <w:rPr>
          <w:rFonts w:ascii="Calibri" w:hAnsi="Calibri"/>
          <w:b/>
          <w:color w:val="134E34"/>
          <w:sz w:val="18"/>
        </w:rPr>
        <w:t xml:space="preserve">Figure 6: Enterprise Agribusiness Risk Assessment Matrix &amp; Prioritization Framework. </w:t>
      </w:r>
      <w:r>
        <w:rPr>
          <w:rFonts w:ascii="Calibri" w:hAnsi="Calibri"/>
          <w:i/>
          <w:color w:val="64748B"/>
          <w:sz w:val="17"/>
        </w:rPr>
        <w:t>Comprehensive 5x5 Likelihood vs. Severity risk matrix identifying 8 core agribusiness operational and financial risks, highlighting critical vulnerabilities (Flowering Water Deficit, Summer Heat Shock, Fertilizer Price Spikes) and active mitigation levers.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72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Risk Code &amp; Description</w:t>
            </w:r>
          </w:p>
        </w:tc>
        <w:tc>
          <w:tcPr>
            <w:tcW w:type="dxa" w:w="201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Likelihood (1-5)</w:t>
            </w:r>
          </w:p>
        </w:tc>
        <w:tc>
          <w:tcPr>
            <w:tcW w:type="dxa" w:w="187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Severity (1-5)</w:t>
            </w:r>
          </w:p>
        </w:tc>
        <w:tc>
          <w:tcPr>
            <w:tcW w:type="dxa" w:w="187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Early Warning Metric</w:t>
            </w:r>
          </w:p>
        </w:tc>
        <w:tc>
          <w:tcPr>
            <w:tcW w:type="dxa" w:w="187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Operational Mitigation Control</w:t>
            </w:r>
          </w:p>
        </w:tc>
      </w:tr>
      <w:tr>
        <w:trPr>
          <w:cantSplit/>
        </w:trPr>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R1: Flowering Water Deficit</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4 (Likely: 60-80%)</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5 (Catastrophic: -$195/ha)</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Daytime VPD &gt; 1.8 kPa; 10-day rainfall &lt; 15mm</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Deploy precision micro-sprinkles; trigger parametric insurance payout.</w:t>
            </w:r>
          </w:p>
        </w:tc>
      </w:tr>
      <w:tr>
        <w:trPr>
          <w:cantSplit/>
        </w:trPr>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R2: Mid-Summer Extreme Heat</w:t>
            </w:r>
          </w:p>
        </w:tc>
        <w:tc>
          <w:tcPr>
            <w:tcW w:type="dxa" w:w="201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4 (Likely: 60-80%)</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4 (Severe: -$153/ha)</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Tmax forecast &gt; 35°C during R1 pollination</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Dynamic planting calendar shift (8-12 days early) to pollinate in June.</w:t>
            </w:r>
          </w:p>
        </w:tc>
      </w:tr>
      <w:tr>
        <w:trPr>
          <w:cantSplit/>
        </w:trPr>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R3: Fertilizer Price Shock</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4 (Likely: 60-80%)</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4 (Severe: -$140/ha)</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DAP-to-grain parity ratio &gt; 2.20; gas spike</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Counter-cyclical Q3 pre-purchasing forward contracts; VRA split-nitrogen.</w:t>
            </w:r>
          </w:p>
        </w:tc>
      </w:tr>
      <w:tr>
        <w:trPr>
          <w:cantSplit/>
        </w:trPr>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R4: Post-Harvest Price Crash</w:t>
            </w:r>
          </w:p>
        </w:tc>
        <w:tc>
          <w:tcPr>
            <w:tcW w:type="dxa" w:w="201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3 (Possible: 30-60%)</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4 (Severe: Margin wipeout)</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SARIMAX forecast downtrend; global stocks</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Rule-based 70% forward pre-sales in Zone 1 (&gt; $230/MT); put option collars.</w:t>
            </w:r>
          </w:p>
        </w:tc>
      </w:tr>
      <w:tr>
        <w:trPr>
          <w:cantSplit/>
        </w:trPr>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R5: Satellite Cloud Occlusion</w:t>
            </w:r>
          </w:p>
        </w:tc>
        <w:tc>
          <w:tcPr>
            <w:tcW w:type="dxa" w:w="201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 (Possible: 30-60%)</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 (Moderate: Data latency)</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Sentinel-2 scene cloud coverage &gt; 60%</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Savitzky-Golay temporal interpolation; integration of synthetic aperture radar (SAR).</w:t>
            </w:r>
          </w:p>
        </w:tc>
      </w:tr>
    </w:tbl>
    <w:p>
      <w:pPr>
        <w:pStyle w:val="Heading1"/>
      </w:pPr>
      <w:r>
        <w:t>7. Future Work &amp; Technological Evolution</w:t>
      </w:r>
    </w:p>
    <w:p>
      <w:r>
        <w:t>To maintain industry leadership, agribusiness enterprises must continually evolve their analytical capabilities. We identify four cutting-edge technological frontiers to expand upon this capstone project:</w:t>
      </w:r>
    </w:p>
    <w:p>
      <w:pPr>
        <w:pStyle w:val="ListBullet"/>
        <w:spacing w:before="20" w:after="40" w:line="276" w:lineRule="auto"/>
      </w:pPr>
      <w:r>
        <w:rPr>
          <w:b/>
          <w:color w:val="1E293B"/>
        </w:rPr>
        <w:t>Spatial-Temporal Deep Learning (Vision Transformers &amp; LSTMs):</w:t>
      </w:r>
      <w:r>
        <w:rPr>
          <w:color w:val="1E293B"/>
        </w:rPr>
        <w:t xml:space="preserve"> While linear and regularized regressions provide unmatched interpretability and regulatory compliance, non-linear deep learning architectures—such as Spatio-Temporal Graph Neural Networks (ST-GNNs) and Vision Transformers (ViTs)—can ingest raw multi-spectral satellite cubes and hourly weather grids directly, modeling complex multi-year soil-moisture memory without manual feature engineering.</w:t>
      </w:r>
    </w:p>
    <w:p>
      <w:pPr>
        <w:pStyle w:val="ListBullet"/>
        <w:spacing w:before="20" w:after="40" w:line="276" w:lineRule="auto"/>
      </w:pPr>
      <w:r>
        <w:rPr>
          <w:b/>
          <w:color w:val="1E293B"/>
        </w:rPr>
        <w:t>Integration of Synthetic Aperture Radar (Sentinel-1 SAR):</w:t>
      </w:r>
      <w:r>
        <w:rPr>
          <w:color w:val="1E293B"/>
        </w:rPr>
        <w:t xml:space="preserve"> To overcome the optical cloud occlusion documented in Phase 2, integrating Sentinel-1 C-band SAR radar imagery provides all-weather, day-and-night surface backscatter. Cross-polarized (VH/VV) ratios track crop structural biomass accumulation and surface soil dielectric properties directly through dense overcast cloud decks.</w:t>
      </w:r>
    </w:p>
    <w:p>
      <w:pPr>
        <w:pStyle w:val="ListBullet"/>
        <w:spacing w:before="20" w:after="40" w:line="276" w:lineRule="auto"/>
      </w:pPr>
      <w:r>
        <w:rPr>
          <w:b/>
          <w:color w:val="1E293B"/>
        </w:rPr>
        <w:t>Hyper-Local IoT Edge Sensing &amp; LoRaWAN Networks:</w:t>
      </w:r>
      <w:r>
        <w:rPr>
          <w:color w:val="1E293B"/>
        </w:rPr>
        <w:t xml:space="preserve"> Augmenting regional public data with solar-powered in-situ LoRaWAN field probes (measuring soil matric suction, canopy micro-temperature, and leaf wetness) provides field-edge calibration, refining regional satellite models down to 10-meter sub-paddock management zones.</w:t>
      </w:r>
    </w:p>
    <w:p>
      <w:pPr>
        <w:pStyle w:val="ListBullet"/>
        <w:spacing w:before="20" w:after="40" w:line="276" w:lineRule="auto"/>
      </w:pPr>
      <w:r>
        <w:rPr>
          <w:b/>
          <w:color w:val="1E293B"/>
        </w:rPr>
        <w:t>Generative AI Agronomic Decision Copilots:</w:t>
      </w:r>
      <w:r>
        <w:rPr>
          <w:color w:val="1E293B"/>
        </w:rPr>
        <w:t xml:space="preserve"> Deploying Large Language Models (LLMs) fine-tuned on agronomical extension literature, university trial data, and farm-specific operational telemetry enables natural-language decision support for farm agronomists and procurement officers (e.g., 'What is the optimal nitrogen top-dress rate for Field 12 given next week's heat forecast?').</w:t>
      </w:r>
    </w:p>
    <w:p>
      <w:pPr>
        <w:pStyle w:val="Heading1"/>
      </w:pPr>
      <w:r>
        <w:t>8. Conclusive Summary &amp; Strategic Call-to-Action</w:t>
      </w:r>
    </w:p>
    <w:p>
      <w:r>
        <w:t>This capstone project synthesizes the full arc of the agricultural data science lifecycle—uniting ecosystem market analysis, automated multi-modal data engineering, rigorous exploratory analytics, and predictive econometric modeling into a single, authoritative business recommendation report. Our empirical investigations prove that agricultural profitability is not an uncontrollable gamble against the elements, but a manageable enterprise challenge that can be de-risked through applied data science.</w:t>
      </w:r>
    </w:p>
    <w:p>
      <w:r>
        <w:t>By operationalizing the biophysical elasticities identified in our econometric modeling—specifically the +19.55 kg/ha moisture return, the -119 kg/ha extreme heat penalty, and the +2.74 MT/ha peak NDVI return—farm enterprises can achieve significant biological yield gains while trimming waste. Concurrently, by adhering to SARIMAX-guided forward contracting corridors and counter-cyclical input pre-purchasing, merchandisers and farm executives insulate enterprise cash flows against severe stagflationary shocks.</w:t>
      </w:r>
    </w:p>
    <w:p>
      <w:r>
        <w:t>As global agriculture confronts intensifying climate volatility and geopolitical trade disruptions, the divide between intuitive farming and predictive agribusiness will rapidly widen. Agribusiness leadership must seize this competitive opportunity by executing the phased 36-month roadmap detailed herein—transforming raw public data into sustainable, climate-resilient enterprise profitability.</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6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19"/>
              </w:rPr>
              <w:t xml:space="preserve">Strategic Conclusion: </w:t>
            </w:r>
            <w:r>
              <w:rPr>
                <w:rFonts w:ascii="Calibri" w:hAnsi="Calibri"/>
                <w:i/>
                <w:color w:val="1E293B"/>
                <w:sz w:val="18"/>
              </w:rPr>
              <w:t>Final Strategic Takeaway: Data science in agribusiness creates commercial value only when analytical rigor connects directly to operational execution. By unifying agronomic field management with commodity treasury hedging under a coherent 4-tier digital architecture, commercial agribusinesses achieve proven financial resilience, expanding net operating margins by up to +87% while establishing a sustainable foundation for long-term agricultural prosperity.</w:t>
            </w:r>
          </w:p>
        </w:tc>
      </w:tr>
    </w:tbl>
    <w:p>
      <w:pPr>
        <w:spacing w:before="0" w:after="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Confidential Deliverable — Week 5 Capstone Report | Statistical Modeling &amp; Prediction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Integrated Business Recommendation Report | Agribusiness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34E34"/>
      <w:sz w:val="31"/>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A86824"/>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