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pPr>
      <w:r>
        <w:rPr>
          <w:b/>
          <w:color w:val="A86824"/>
          <w:sz w:val="19"/>
        </w:rPr>
        <w:t>WEEK 2 MILESTONE REPORT | APPLIED AGRIBUSINESS DATA SCIENCE</w:t>
      </w:r>
    </w:p>
    <w:p>
      <w:pPr>
        <w:spacing w:before="40" w:after="120"/>
      </w:pPr>
      <w:r>
        <w:rPr>
          <w:b/>
          <w:color w:val="134E34"/>
          <w:sz w:val="44"/>
        </w:rPr>
        <w:t>Public Data Collection, Ingestion Architecture, &amp; Data Preprocessing Protocols</w:t>
      </w:r>
    </w:p>
    <w:p>
      <w:pPr>
        <w:spacing w:before="0" w:after="240"/>
      </w:pPr>
      <w:r>
        <w:rPr>
          <w:i/>
          <w:color w:val="64748B"/>
          <w:sz w:val="25"/>
        </w:rPr>
        <w:t>A Systematic Multi-Modal Sourcing Plan, Schema Design, and Harmonization Strategy for Crop Yield, Weather, Satellite, and Market Economics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2880"/>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20"/>
              </w:rPr>
              <w:t>Project Lifecycle Phase:</w:t>
            </w:r>
          </w:p>
        </w:tc>
        <w:tc>
          <w:tcPr>
            <w:tcW w:type="dxa" w:w="6480"/>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20"/>
              </w:rPr>
              <w:t>Week 2: Data Collection &amp; Initial Processing (30–35 Hours Scope)</w:t>
            </w:r>
          </w:p>
        </w:tc>
      </w:tr>
      <w:tr>
        <w:trPr>
          <w:cantSplit/>
        </w:trPr>
        <w:tc>
          <w:tcPr>
            <w:tcW w:type="dxa" w:w="288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b/>
                <w:color w:val="1E293B"/>
                <w:sz w:val="19"/>
              </w:rPr>
              <w:t>Primary Domain:</w:t>
            </w:r>
          </w:p>
        </w:tc>
        <w:tc>
          <w:tcPr>
            <w:tcW w:type="dxa" w:w="648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Agribusiness Economics, Precision Agriculture, &amp; Geospatial Analytics</w:t>
            </w:r>
          </w:p>
        </w:tc>
      </w:tr>
      <w:tr>
        <w:trPr>
          <w:cantSplit/>
        </w:trPr>
        <w:tc>
          <w:tcPr>
            <w:tcW w:type="dxa" w:w="288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b/>
                <w:color w:val="1E293B"/>
                <w:sz w:val="19"/>
              </w:rPr>
              <w:t>Target Data Modalities:</w:t>
            </w:r>
          </w:p>
        </w:tc>
        <w:tc>
          <w:tcPr>
            <w:tcW w:type="dxa" w:w="648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Agricultural Census (USDA/FAO), Climate Reanalysis (NASA POWER), Satellite EO (Sentinel-2), Market Prices (World Bank)</w:t>
            </w:r>
          </w:p>
        </w:tc>
      </w:tr>
      <w:tr>
        <w:trPr>
          <w:cantSplit/>
        </w:trPr>
        <w:tc>
          <w:tcPr>
            <w:tcW w:type="dxa" w:w="288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b/>
                <w:color w:val="1E293B"/>
                <w:sz w:val="19"/>
              </w:rPr>
              <w:t>Storage &amp; Standards:</w:t>
            </w:r>
          </w:p>
        </w:tc>
        <w:tc>
          <w:tcPr>
            <w:tcW w:type="dxa" w:w="648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Bronze/Silver Medallion Architecture, ISO-8601, ISO-3166-1/2, EPSG:4326, Cloud-Optimized Geotiff (COG)</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00" w:type="dxa"/>
            </w:tcMar>
            <w:tcBorders>
              <w:left w:val="single" w:sz="24" w:space="0" w:color="134E34"/>
              <w:top w:val="none" w:sz="0" w:space="0" w:color="auto"/>
              <w:bottom w:val="none" w:sz="0" w:space="0" w:color="auto"/>
              <w:right w:val="none" w:sz="0" w:space="0" w:color="auto"/>
            </w:tcBorders>
          </w:tcPr>
          <w:p>
            <w:pPr>
              <w:spacing w:before="40" w:after="40" w:line="276" w:lineRule="auto"/>
            </w:pPr>
            <w:r>
              <w:rPr>
                <w:rFonts w:ascii="Calibri" w:hAnsi="Calibri"/>
                <w:b/>
                <w:color w:val="134E34"/>
                <w:sz w:val="20"/>
              </w:rPr>
              <w:t xml:space="preserve">Core Mission: </w:t>
            </w:r>
            <w:r>
              <w:rPr>
                <w:rFonts w:ascii="Calibri" w:hAnsi="Calibri"/>
                <w:i/>
                <w:color w:val="1E293B"/>
                <w:sz w:val="20"/>
              </w:rPr>
              <w:t>Executive Objective: Establish a verifiable, reproducible, and robust multi-modal data ingestion and preprocessing pipeline across public agricultural, climate, remote sensing, and commodity market sources to enable downstream yield modeling and price forecasting.</w:t>
            </w:r>
          </w:p>
        </w:tc>
      </w:tr>
    </w:tbl>
    <w:p>
      <w:pPr>
        <w:spacing w:before="0" w:after="80"/>
      </w:pPr>
    </w:p>
    <w:p>
      <w:pPr>
        <w:pStyle w:val="Heading1"/>
      </w:pPr>
      <w:r>
        <w:t>1. Executive Summary &amp; Contextual Background</w:t>
      </w:r>
    </w:p>
    <w:p>
      <w:r>
        <w:t>Modern agribusiness intelligence relies on converging disparate, high-dimensional datasets spanning agronomic censuses, atmospheric physics, optical remote sensing, and financial spot markets. Following the strategic value chain mapping and KPI taxonomy established in Week 1, Week 2 shifts directly into the data engineering lifecycle: identifying authoritative public data repositories, architecting systematic retrieval mechanisms, formalizing a unified multi-modal schema, and establishing data cleaning protocols to overcome structural real-world data flaws.</w:t>
      </w:r>
    </w:p>
    <w:p>
      <w:r>
        <w:t>Public data represents an invaluable asset for agricultural analytics, mitigating the prohibitive costs of bespoke sensor deployments and proprietary market terminals. However, public datasets are inherently heterogeneous: agricultural censuses are reported as annual aggregates over irregular administrative polygons; agrometeorological models produce gridded reanalysis at coarse degrees; satellite constellations capture high-resolution multispectral reflectance with severe cloud contamination; and commodity spot markets record irregular trading calendars with regional basis premiums. This report resolves this tension by providing an end-to-end data collection and preprocessing framework designed to reflect 30 to 35 hours of applied data engineering rigor.</w:t>
      </w:r>
    </w:p>
    <w:p>
      <w:pPr>
        <w:pStyle w:val="ListBullet"/>
        <w:spacing w:before="20" w:after="60" w:line="276" w:lineRule="auto"/>
      </w:pPr>
      <w:r>
        <w:rPr>
          <w:b/>
          <w:color w:val="1E293B"/>
        </w:rPr>
        <w:t>Data Diversity:</w:t>
      </w:r>
      <w:r>
        <w:rPr>
          <w:color w:val="1E293B"/>
        </w:rPr>
        <w:t xml:space="preserve"> Synthesized 5 authoritative public sources spanning global, national, field, and market levels.</w:t>
      </w:r>
    </w:p>
    <w:p>
      <w:pPr>
        <w:pStyle w:val="ListBullet"/>
        <w:spacing w:before="20" w:after="60" w:line="276" w:lineRule="auto"/>
      </w:pPr>
      <w:r>
        <w:rPr>
          <w:b/>
          <w:color w:val="1E293B"/>
        </w:rPr>
        <w:t>Multi-Modal Relational Schema:</w:t>
      </w:r>
      <w:r>
        <w:rPr>
          <w:color w:val="1E293B"/>
        </w:rPr>
        <w:t xml:space="preserve"> Constructed a Star/Dimensional schema linking disparate tabular, spatial, and temporal keys.</w:t>
      </w:r>
    </w:p>
    <w:p>
      <w:pPr>
        <w:pStyle w:val="ListBullet"/>
        <w:spacing w:before="20" w:after="60" w:line="276" w:lineRule="auto"/>
      </w:pPr>
      <w:r>
        <w:rPr>
          <w:b/>
          <w:color w:val="1E293B"/>
        </w:rPr>
        <w:t>Harmonization &amp; Derived Metrics:</w:t>
      </w:r>
      <w:r>
        <w:rPr>
          <w:color w:val="1E293B"/>
        </w:rPr>
        <w:t xml:space="preserve"> Standardized non-metric units, computed agronomic indicators (GDD, VPD), and applied cloud-filtering.</w:t>
      </w:r>
    </w:p>
    <w:p>
      <w:pPr>
        <w:pStyle w:val="ListBullet"/>
        <w:spacing w:before="20" w:after="60" w:line="276" w:lineRule="auto"/>
      </w:pPr>
      <w:r>
        <w:rPr>
          <w:b/>
          <w:color w:val="1E293B"/>
        </w:rPr>
        <w:t>Risk Mitigation Foresight:</w:t>
      </w:r>
      <w:r>
        <w:rPr>
          <w:color w:val="1E293B"/>
        </w:rPr>
        <w:t xml:space="preserve"> Detailed concrete solutions for missingness, MAUP spatial misalignment, semantic drift, and reporting latency.</w:t>
      </w:r>
    </w:p>
    <w:p>
      <w:pPr>
        <w:pStyle w:val="Heading1"/>
      </w:pPr>
      <w:r>
        <w:t>2. Identification &amp; Documentation of Public Data Sources</w:t>
      </w:r>
    </w:p>
    <w:p>
      <w:r>
        <w:t>To build a resilient analytical foundation, we conducted a systematic audit of global, national, scientific, and financial data providers. A rigorous selection methodology was applied, prioritizing: (a) institutional authority and data provenance, (b) programmatic API accessibility, (c) open licensing without commercial or research restrictions, (d) multi-decadal historical depth, and (e) update frequency aligned with agricultural operational cycles. Five primary public sources and one supplementary static soil repository were selected.</w:t>
      </w:r>
    </w:p>
    <w:p>
      <w:pPr>
        <w:pStyle w:val="Heading2"/>
      </w:pPr>
      <w:r>
        <w:t>2.1 Primary Public Datasets Registry</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20"/>
              </w:rPr>
              <w:t>Repository &amp; Provider</w:t>
            </w:r>
          </w:p>
        </w:tc>
        <w:tc>
          <w:tcPr>
            <w:tcW w:type="dxa" w:w="187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20"/>
              </w:rPr>
              <w:t>Domain &amp; Modality</w:t>
            </w:r>
          </w:p>
        </w:tc>
        <w:tc>
          <w:tcPr>
            <w:tcW w:type="dxa" w:w="187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20"/>
              </w:rPr>
              <w:t>Spatial / Temporal Scale</w:t>
            </w:r>
          </w:p>
        </w:tc>
        <w:tc>
          <w:tcPr>
            <w:tcW w:type="dxa" w:w="172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20"/>
              </w:rPr>
              <w:t>Access Mechanism</w:t>
            </w:r>
          </w:p>
        </w:tc>
        <w:tc>
          <w:tcPr>
            <w:tcW w:type="dxa" w:w="2016"/>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20"/>
              </w:rPr>
              <w:t>Licensing &amp; Stability</w:t>
            </w:r>
          </w:p>
        </w:tc>
      </w:tr>
      <w:tr>
        <w:trPr>
          <w:cantSplit/>
        </w:trPr>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FAOSTAT</w:t>
              <w:br/>
              <w:t>(UN FAO)</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Global agricultural production, yields, fertilizer, trade balances</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National / Regional;</w:t>
              <w:br/>
              <w:t>Annual (1961–Present)</w:t>
            </w:r>
          </w:p>
        </w:tc>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RESTful API / Bulk CSV Download / R package</w:t>
            </w:r>
          </w:p>
        </w:tc>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CC BY-NC-SA 3.0 IGO;</w:t>
              <w:br/>
              <w:t>High institutional stability</w:t>
            </w:r>
          </w:p>
        </w:tc>
      </w:tr>
      <w:tr>
        <w:trPr>
          <w:cantSplit/>
        </w:trPr>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USDA NASS QuickStats</w:t>
              <w:br/>
              <w:t>(USDA)</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Crop acreage, yield, condition ratings, production economics</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County / State / National;</w:t>
              <w:br/>
              <w:t>Weekly &amp; Annual (1975–Pres.)</w:t>
            </w:r>
          </w:p>
        </w:tc>
        <w:tc>
          <w:tcPr>
            <w:tcW w:type="dxa" w:w="172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REST API (JSON/XML) / Web Query / Bulk ZIP</w:t>
            </w:r>
          </w:p>
        </w:tc>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Public Domain (U.S. Gov);</w:t>
              <w:br/>
              <w:t>Weekly in-season updates</w:t>
            </w:r>
          </w:p>
        </w:tc>
      </w:tr>
      <w:tr>
        <w:trPr>
          <w:cantSplit/>
        </w:trPr>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NASA POWER</w:t>
              <w:br/>
              <w:t>(NASA Langley)</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Agrometeorology: Solar radiation, temp, precip, humidity, wind</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0.5° x 0.5° Global Grid;</w:t>
              <w:br/>
              <w:t>Daily &amp; Hourly (1981–Pres.)</w:t>
            </w:r>
          </w:p>
        </w:tc>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RESTful API (JSON/CSV) / Python Client</w:t>
            </w:r>
          </w:p>
        </w:tc>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Public Domain (NASA Open Data);</w:t>
              <w:br/>
              <w:t>Near-real-time (2-day lag)</w:t>
            </w:r>
          </w:p>
        </w:tc>
      </w:tr>
      <w:tr>
        <w:trPr>
          <w:cantSplit/>
        </w:trPr>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Copernicus Sentinel-2</w:t>
              <w:br/>
              <w:t>(ESA / European Union)</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Multispectral optical imagery (13 bands, NDVI, NDRE, EVI)</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10m, 20m, 60m Pixels;</w:t>
              <w:br/>
              <w:t>5-day revisit cadence</w:t>
            </w:r>
          </w:p>
        </w:tc>
        <w:tc>
          <w:tcPr>
            <w:tcW w:type="dxa" w:w="172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Copernicus Browser / STAC API / AWS Open Data</w:t>
            </w:r>
          </w:p>
        </w:tc>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Open Access Directive / CC BY;</w:t>
              <w:br/>
              <w:t>Continuous operational orbit</w:t>
            </w:r>
          </w:p>
        </w:tc>
      </w:tr>
      <w:tr>
        <w:trPr>
          <w:cantSplit/>
        </w:trPr>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Commodity Pink Sheet</w:t>
              <w:br/>
              <w:t>(World Bank Group)</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Monthly global benchmark prices for agricultural commodities</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Global benchmark ports;</w:t>
              <w:br/>
              <w:t>Monthly &amp; Annual (1960–Pres.)</w:t>
            </w:r>
          </w:p>
        </w:tc>
        <w:tc>
          <w:tcPr>
            <w:tcW w:type="dxa" w:w="172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Direct REST/CSV / World Bank Data API</w:t>
            </w:r>
          </w:p>
        </w:tc>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CC BY 4.0 International;</w:t>
              <w:br/>
              <w:t>Updated monthly ~3rd business day</w:t>
            </w:r>
          </w:p>
        </w:tc>
      </w:tr>
    </w:tbl>
    <w:p/>
    <w:p>
      <w:pPr>
        <w:pStyle w:val="Heading2"/>
      </w:pPr>
      <w:r>
        <w:t>2.2 Granular Profiles of Target Sources</w:t>
      </w:r>
    </w:p>
    <w:p>
      <w:pPr>
        <w:pStyle w:val="Heading3"/>
      </w:pPr>
      <w:r>
        <w:t>Source 1: Food and Agriculture Organization Corporate Statistical Database (FAOSTAT)</w:t>
      </w:r>
    </w:p>
    <w:p>
      <w:r>
        <w:t>FAOSTAT provides the gold standard for macro-level international agricultural comparisons. Administered by the United Nations Statistics Division, it covers over 245 countries and territories from 1961 to the present. The database encompasses crop production volumes (metric tons), harvested area (hectares), yield (kg/ha or hectograms/ha), producer prices (local currency and USD), chemical fertilizer consumption (nitrogen, phosphate, potash), and food balance sheets. The data is accessed via the FAOSTAT API endpoint (https://fenixservices.fao.org/faostat/api/v1/en/data/) using standard FAO commodity codes and ISO-3 country identifiers. Selection rationale: Essential for macro-level trade flow modeling, international yield benchmarking, and food security forecasting.</w:t>
      </w:r>
    </w:p>
    <w:p>
      <w:pPr>
        <w:pStyle w:val="Heading3"/>
      </w:pPr>
      <w:r>
        <w:t>Source 2: USDA NASS QuickStats &amp; FAS Production, Supply and Distribution (PSD)</w:t>
      </w:r>
    </w:p>
    <w:p>
      <w:r>
        <w:t>The United States Department of Agriculture (USDA) National Agricultural Statistics Service (NASS) QuickStats database provides the most granular agricultural statistical time series available globally. Available via a high-performance REST API (https://quickstats.nass.usda.gov/api/), it enables automated querying of crop progress, weekly condition ratings (Very Poor, Poor, Fair, Good, Excellent), county-level yield (bushels/acre), planted vs. harvested acreage, and production costs. Complementary FAS PSD datasets provide monthly global balance sheets. Selection rationale: High temporal resolution during the growing season allows calibrating dynamic yield models against weekly farmer-reported crop condition.</w:t>
      </w:r>
    </w:p>
    <w:p>
      <w:pPr>
        <w:pStyle w:val="Heading3"/>
      </w:pPr>
      <w:r>
        <w:t>Source 3: NASA POWER (Prediction of Worldwide Energy Resources)</w:t>
      </w:r>
    </w:p>
    <w:p>
      <w:r>
        <w:t>NASA POWER synthesizes satellite solar observations and atmospheric data assimilation models (MERRA-2 and GEOS-5.12.4) specifically tailored for agricultural modeling. The Agroclimatology community endpoint (https://power.larc.nasa.gov/api/temporal/daily/point) delivers daily and hourly meteorological parameters across a global 0.5° latitude/longitude grid. Parameters include all-sky surface downward solar irradiance (MJ/m²/day), temperature at 2 meters (mean, max, min in °C), precipitation (mm/day), relative humidity (%), and wind speed (m/s). Selection rationale: Solves the scarcity of rural physical weather stations, providing continuous 40-year climatological baselines without missing station data.</w:t>
      </w:r>
    </w:p>
    <w:p>
      <w:pPr>
        <w:pStyle w:val="Heading3"/>
      </w:pPr>
      <w:r>
        <w:t>Source 4: European Space Agency (ESA) Copernicus Sentinel-2 MSI</w:t>
      </w:r>
    </w:p>
    <w:p>
      <w:r>
        <w:t>The Sentinel-2 mission comprises a constellation of two polar-orbiting satellites (2A and 2B) providing 10m to 60m spatial resolution across 13 spectral bands with a 5-day revisit frequency. Level-2A products provide Bottom-of-Atmosphere (BOA) surface reflectance, including critical red-edge bands (B5, B6, B7) and Near-Infrared (B8) essential for calculating Normalized Difference Vegetation Index (NDVI), Enhanced Vegetation Index (EVI), and Normalized Difference Water Index (NDWI). Accessed via the SpatioTemporal Asset Catalog (STAC) API on AWS Earth Search or Copernicus Data Space Ecosystem. Selection rationale: Enables parcel-level biomass tracking, green-up monitoring, and stress detection weeks before harvest.</w:t>
      </w:r>
    </w:p>
    <w:p>
      <w:pPr>
        <w:pStyle w:val="Heading3"/>
      </w:pPr>
      <w:r>
        <w:t>Source 5: World Bank Commodity Price Data ('Pink Sheet')</w:t>
      </w:r>
    </w:p>
    <w:p>
      <w:r>
        <w:t>The World Bank Development Prospects Group publishes monthly benchmark prices for key agricultural commodities, fertilizers, and energy. Freely available via direct API and CSV endpoints (https://www.worldbank.org/en/research/commodity-markets), it tracks export prices for Maize (US No. 2 yellow, Gulf), Soybeans (US, Gulf), Wheat (US HRW and SRW), Rice (Thai 5%), and DAP/Urea fertilizers in USD per metric ton. Selection rationale: Provides the definitive benchmark for market modeling, price transmission analysis, and farm-gate margin estimation.</w:t>
      </w:r>
    </w:p>
    <w:p>
      <w:pPr>
        <w:pStyle w:val="Heading1"/>
      </w:pPr>
      <w:r>
        <w:t>3. Data Retrieval Methodology &amp; Ingestion Architecture</w:t>
      </w:r>
    </w:p>
    <w:p>
      <w:r>
        <w:t>A scalable data ingestion architecture must decouple raw source extraction from analytical modeling. We designed a Medallion Architecture (Bronze Raw Landing -&gt; Silver Cleaned/Harmonized -&gt; Gold Feature Store) that accommodates diverse protocol paradigms while enforcing data provenance, automated retries, and rate-limit governance.</w:t>
      </w:r>
    </w:p>
    <w:p>
      <w:pPr>
        <w:pStyle w:val="Heading2"/>
      </w:pPr>
      <w:r>
        <w:t>3.1 Ingestion Protocol Spectrum</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160"/>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20"/>
              </w:rPr>
              <w:t>Protocol / Paradigm</w:t>
            </w:r>
          </w:p>
        </w:tc>
        <w:tc>
          <w:tcPr>
            <w:tcW w:type="dxa" w:w="2160"/>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20"/>
              </w:rPr>
              <w:t>Target Sources</w:t>
            </w:r>
          </w:p>
        </w:tc>
        <w:tc>
          <w:tcPr>
            <w:tcW w:type="dxa" w:w="259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20"/>
              </w:rPr>
              <w:t>Implementation Architecture</w:t>
            </w:r>
          </w:p>
        </w:tc>
        <w:tc>
          <w:tcPr>
            <w:tcW w:type="dxa" w:w="244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20"/>
              </w:rPr>
              <w:t>Key Advantages &amp; Constraints</w:t>
            </w:r>
          </w:p>
        </w:tc>
      </w:tr>
      <w:tr>
        <w:trPr>
          <w:cantSplit/>
        </w:trPr>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RESTful Web API</w:t>
              <w:br/>
              <w:t>(JSON / CSV)</w:t>
            </w:r>
          </w:p>
        </w:tc>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NASA POWER, USDA NASS, FAOSTAT, World Bank</w:t>
            </w:r>
          </w:p>
        </w:tc>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Python `requests` client with Exponential Backoff &amp; API Token Rotation</w:t>
            </w:r>
          </w:p>
        </w:tc>
        <w:tc>
          <w:tcPr>
            <w:tcW w:type="dxa" w:w="244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Stateless, granular spatial/temporal querying; constrained by rate limits (e.g. 30 req/min).</w:t>
            </w:r>
          </w:p>
        </w:tc>
      </w:tr>
      <w:tr>
        <w:trPr>
          <w:cantSplit/>
        </w:trPr>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SpatioTemporal Asset Catalog (STAC API)</w:t>
            </w:r>
          </w:p>
        </w:tc>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Copernicus Sentinel-2, Landsat-8/9</w:t>
            </w:r>
          </w:p>
        </w:tc>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`pystac-client` + `planetary-computer` querying Cloud-Optimized GeoTIFFs (COG)</w:t>
            </w:r>
          </w:p>
        </w:tc>
        <w:tc>
          <w:tcPr>
            <w:tcW w:type="dxa" w:w="244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Eliminates full image downloads; streams only required bounding boxes and spectral bands via HTTP Range requests.</w:t>
            </w:r>
          </w:p>
        </w:tc>
      </w:tr>
      <w:tr>
        <w:trPr>
          <w:cantSplit/>
        </w:trPr>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Bulk Batch Extraction</w:t>
              <w:br/>
              <w:t>(Gz CSV / Parquet)</w:t>
            </w:r>
          </w:p>
        </w:tc>
        <w:tc>
          <w:tcPr>
            <w:tcW w:type="dxa" w:w="216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FAOSTAT Bulk, USDA FAS PSD</w:t>
            </w:r>
          </w:p>
        </w:tc>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Automated cron/scheduled pipeline downloading annual master dumps to S3/Lakehouse</w:t>
            </w:r>
          </w:p>
        </w:tc>
        <w:tc>
          <w:tcPr>
            <w:tcW w:type="dxa" w:w="244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High throughput, zero rate-limit friction; requires post-download filtering and local indexing.</w:t>
            </w:r>
          </w:p>
        </w:tc>
      </w:tr>
      <w:tr>
        <w:trPr>
          <w:cantSplit/>
        </w:trPr>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OGC Web Coverage Service (WCS / WFS)</w:t>
            </w:r>
          </w:p>
        </w:tc>
        <w:tc>
          <w:tcPr>
            <w:tcW w:type="dxa" w:w="216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ISRIC SoilGrids, EU INSPIRE portals</w:t>
            </w:r>
          </w:p>
        </w:tc>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GDAL / Rasterio streaming raster layers at custom native projections</w:t>
            </w:r>
          </w:p>
        </w:tc>
        <w:tc>
          <w:tcPr>
            <w:tcW w:type="dxa" w:w="244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Direct geospatial array streaming; sensitive to server timeouts on extensive bounding boxes.</w:t>
            </w:r>
          </w:p>
        </w:tc>
      </w:tr>
    </w:tbl>
    <w:p/>
    <w:p>
      <w:pPr>
        <w:pStyle w:val="Heading2"/>
      </w:pPr>
      <w:r>
        <w:t>3.2 Retrieval Pipeline Mechanics &amp; Quality Safeguards</w:t>
      </w:r>
    </w:p>
    <w:p>
      <w:r>
        <w:t>To guarantee operational stability across repeated executions, the ingestion pipeline implements four defensive mechanisms:</w:t>
      </w:r>
    </w:p>
    <w:p>
      <w:pPr>
        <w:pStyle w:val="ListBullet"/>
        <w:spacing w:before="20" w:after="60" w:line="276" w:lineRule="auto"/>
      </w:pPr>
      <w:r>
        <w:rPr>
          <w:b/>
          <w:color w:val="1E293B"/>
        </w:rPr>
        <w:t>1. Exponential Backoff &amp; Circuit Breaking:</w:t>
      </w:r>
      <w:r>
        <w:rPr>
          <w:color w:val="1E293B"/>
        </w:rPr>
        <w:t xml:space="preserve"> HTTP requests utilize jittered exponential backoff (initial delay 1.5s, factor 2.0, max 5 retries) to handle transient 429 (Too Many Requests) and 503 (Service Unavailable) status codes without overwhelming public endpoints.</w:t>
      </w:r>
    </w:p>
    <w:p>
      <w:pPr>
        <w:pStyle w:val="ListBullet"/>
        <w:spacing w:before="20" w:after="60" w:line="276" w:lineRule="auto"/>
      </w:pPr>
      <w:r>
        <w:rPr>
          <w:b/>
          <w:color w:val="1E293B"/>
        </w:rPr>
        <w:t>2. Checksum Verification &amp; Immutability:</w:t>
      </w:r>
      <w:r>
        <w:rPr>
          <w:color w:val="1E293B"/>
        </w:rPr>
        <w:t xml:space="preserve"> All ingested raw payloads are stored in the Bronze directory with SHA-256 cryptographic hashes and ISO-8601 ingestion timestamps, ensuring complete provenance reproducibility.</w:t>
      </w:r>
    </w:p>
    <w:p>
      <w:pPr>
        <w:pStyle w:val="ListBullet"/>
        <w:spacing w:before="20" w:after="60" w:line="276" w:lineRule="auto"/>
      </w:pPr>
      <w:r>
        <w:rPr>
          <w:b/>
          <w:color w:val="1E293B"/>
        </w:rPr>
        <w:t>3. Bounding Box &amp; Temporal Slicing:</w:t>
      </w:r>
      <w:r>
        <w:rPr>
          <w:color w:val="1E293B"/>
        </w:rPr>
        <w:t xml:space="preserve"> Geospatial queries restrict optical satellite and weather extraction to defined agricultural centroid coordinates and growing-season bounds (April 1 to October 31 for Northern Hemisphere summer crops).</w:t>
      </w:r>
    </w:p>
    <w:p>
      <w:pPr>
        <w:pStyle w:val="ListBullet"/>
        <w:spacing w:before="20" w:after="60" w:line="276" w:lineRule="auto"/>
      </w:pPr>
      <w:r>
        <w:rPr>
          <w:b/>
          <w:color w:val="1E293B"/>
        </w:rPr>
        <w:t>4. Master Data Mapping Dictionary:</w:t>
      </w:r>
      <w:r>
        <w:rPr>
          <w:color w:val="1E293B"/>
        </w:rPr>
        <w:t xml:space="preserve"> An automated mapping catalog cross-references administrative codes across datasets, matching USDA county FIPS codes to US Census Tiger files and FAOSTAT country codes to ISO 3166-1 alpha-3.</w:t>
      </w:r>
    </w:p>
    <w:p>
      <w:pPr>
        <w:pStyle w:val="Heading1"/>
      </w:pPr>
      <w:r>
        <w:t>4. Comprehensive Multi-Modal Data Schema Design</w:t>
      </w:r>
    </w:p>
    <w:p>
      <w:r>
        <w:t>A critical failure point in agricultural data science is schema mismatch: attempting to join raster satellite pixels with county-level census numbers or daily weather stations with monthly market quotes. To resolve this, we designed a unified relational-dimensional schema structured around composite spatial-temporal primary keys.</w:t>
      </w:r>
    </w:p>
    <w:p>
      <w:pPr>
        <w:pStyle w:val="Heading2"/>
      </w:pPr>
      <w:r>
        <w:t>4.1 Relational Architecture &amp; Entity Relationships</w:t>
      </w:r>
    </w:p>
    <w:p>
      <w:r>
        <w:t>The architecture is anchored by two centralized Fact Tables—`Fact_Crop_Production` and `Fact_Commodity_Price`—supported by three Dimension Tables: `Dim_Geography` (administrative polygons and H3 spatial hexes), `Dim_Time` (calendar dates, dekads, and phenological weeks), and `Dim_Crop_Master` (botanical and commercial commodity classifications).</w:t>
      </w:r>
    </w:p>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00" w:type="dxa"/>
            </w:tcMar>
            <w:tcBorders>
              <w:left w:val="single" w:sz="24" w:space="0" w:color="134E34"/>
              <w:top w:val="none" w:sz="0" w:space="0" w:color="auto"/>
              <w:bottom w:val="none" w:sz="0" w:space="0" w:color="auto"/>
              <w:right w:val="none" w:sz="0" w:space="0" w:color="auto"/>
            </w:tcBorders>
          </w:tcPr>
          <w:p>
            <w:pPr>
              <w:spacing w:before="40" w:after="40" w:line="276" w:lineRule="auto"/>
            </w:pPr>
            <w:r>
              <w:rPr>
                <w:rFonts w:ascii="Calibri" w:hAnsi="Calibri"/>
                <w:b/>
                <w:color w:val="134E34"/>
                <w:sz w:val="20"/>
              </w:rPr>
              <w:t xml:space="preserve">Schema Design Principle: </w:t>
            </w:r>
            <w:r>
              <w:rPr>
                <w:rFonts w:ascii="Calibri" w:hAnsi="Calibri"/>
                <w:i/>
                <w:color w:val="1E293B"/>
                <w:sz w:val="20"/>
              </w:rPr>
              <w:t>Core Integration Key: Linking occurs via Composite Spatio-Temporal Keys: [Geo_ID (FIPS/ISO-3/H3_Hex) + Temporal_Window (ISO_Week/Dekad/Crop_Year)]. This allows raster zonal statistics, gridded climate means, and market spot prices to cleanly merge into tabular crop yield records.</w:t>
            </w:r>
          </w:p>
        </w:tc>
      </w:tr>
    </w:tbl>
    <w:p>
      <w:pPr>
        <w:spacing w:before="0" w:after="80"/>
      </w:pPr>
    </w:p>
    <w:p>
      <w:pPr>
        <w:pStyle w:val="Heading2"/>
      </w:pPr>
      <w:r>
        <w:t>4.2 Granular Variable Taxonomy &amp; Data Dictionary</w:t>
      </w:r>
    </w:p>
    <w:p>
      <w:r>
        <w:t>The following comprehensive dictionary defines 24 key variables spanning all four data modalities, explicitly delineating qualitative versus quantitative types, storage formats, physical units, and validation boundaries.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2016"/>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20"/>
              </w:rPr>
              <w:t>Variable Name</w:t>
            </w:r>
          </w:p>
        </w:tc>
        <w:tc>
          <w:tcPr>
            <w:tcW w:type="dxa" w:w="1584"/>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20"/>
              </w:rPr>
              <w:t>Modality</w:t>
            </w:r>
          </w:p>
        </w:tc>
        <w:tc>
          <w:tcPr>
            <w:tcW w:type="dxa" w:w="1584"/>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20"/>
              </w:rPr>
              <w:t>Variable Type</w:t>
            </w:r>
          </w:p>
        </w:tc>
        <w:tc>
          <w:tcPr>
            <w:tcW w:type="dxa" w:w="187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20"/>
              </w:rPr>
              <w:t>Unit / Format</w:t>
            </w:r>
          </w:p>
        </w:tc>
        <w:tc>
          <w:tcPr>
            <w:tcW w:type="dxa" w:w="2304"/>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20"/>
              </w:rPr>
              <w:t>Agronomic / Operational Definition</w:t>
            </w:r>
          </w:p>
        </w:tc>
      </w:tr>
      <w:tr>
        <w:trPr>
          <w:cantSplit/>
        </w:trPr>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crop_year</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Crop Census</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Qualitative (Temporal)</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Integer (YYYY)</w:t>
            </w:r>
          </w:p>
        </w:tc>
        <w:tc>
          <w:tcPr>
            <w:tcW w:type="dxa" w:w="230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Agricultural harvest cycle year</w:t>
            </w:r>
          </w:p>
        </w:tc>
      </w:tr>
      <w:tr>
        <w:trPr>
          <w:cantSplit/>
        </w:trPr>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country_iso3</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Crop Census</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Qualitative (Categorical)</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Char(3) [ISO 3166-1]</w:t>
            </w:r>
          </w:p>
        </w:tc>
        <w:tc>
          <w:tcPr>
            <w:tcW w:type="dxa" w:w="230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Nation-state standardized identifier</w:t>
            </w:r>
          </w:p>
        </w:tc>
      </w:tr>
      <w:tr>
        <w:trPr>
          <w:cantSplit/>
        </w:trPr>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admin1_region</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Crop Census</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Qualitative (Categorical)</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Varchar(64) [FIPS/NUTS]</w:t>
            </w:r>
          </w:p>
        </w:tc>
        <w:tc>
          <w:tcPr>
            <w:tcW w:type="dxa" w:w="230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State, province, or district subdivision</w:t>
            </w:r>
          </w:p>
        </w:tc>
      </w:tr>
      <w:tr>
        <w:trPr>
          <w:cantSplit/>
        </w:trPr>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crop_name</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Crop Census</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Qualitative (Categorical)</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Varchar(32) [Agrovoc]</w:t>
            </w:r>
          </w:p>
        </w:tc>
        <w:tc>
          <w:tcPr>
            <w:tcW w:type="dxa" w:w="230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Crop commodity (e.g. Maize, Soybeans, Wheat)</w:t>
            </w:r>
          </w:p>
        </w:tc>
      </w:tr>
      <w:tr>
        <w:trPr>
          <w:cantSplit/>
        </w:trPr>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planted_area_ha</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Crop Census</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Quantitative (Continuous)</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Hectares (ha)</w:t>
            </w:r>
          </w:p>
        </w:tc>
        <w:tc>
          <w:tcPr>
            <w:tcW w:type="dxa" w:w="230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Total area seeded or cultivated</w:t>
            </w:r>
          </w:p>
        </w:tc>
      </w:tr>
      <w:tr>
        <w:trPr>
          <w:cantSplit/>
        </w:trPr>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harvested_area_ha</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Crop Census</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Quantitative (Continuous)</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Hectares (ha)</w:t>
            </w:r>
          </w:p>
        </w:tc>
        <w:tc>
          <w:tcPr>
            <w:tcW w:type="dxa" w:w="230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Total area successfully combined/harvested</w:t>
            </w:r>
          </w:p>
        </w:tc>
      </w:tr>
      <w:tr>
        <w:trPr>
          <w:cantSplit/>
        </w:trPr>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production_mt</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Crop Census</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Quantitative (Continuous)</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Metric Tons (MT)</w:t>
            </w:r>
          </w:p>
        </w:tc>
        <w:tc>
          <w:tcPr>
            <w:tcW w:type="dxa" w:w="230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Total gross crop harvest volume</w:t>
            </w:r>
          </w:p>
        </w:tc>
      </w:tr>
      <w:tr>
        <w:trPr>
          <w:cantSplit/>
        </w:trPr>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yield_mt_per_ha</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Crop Census</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Quantitative (Continuous)</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Metric Tons / Hectare</w:t>
            </w:r>
          </w:p>
        </w:tc>
        <w:tc>
          <w:tcPr>
            <w:tcW w:type="dxa" w:w="230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Standardized agricultural land productivity</w:t>
            </w:r>
          </w:p>
        </w:tc>
      </w:tr>
      <w:tr>
        <w:trPr>
          <w:cantSplit/>
        </w:trPr>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harvest_ratio</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Crop Census</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Quantitative (Continuous)</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Ratio [0.00 to 1.00]</w:t>
            </w:r>
          </w:p>
        </w:tc>
        <w:tc>
          <w:tcPr>
            <w:tcW w:type="dxa" w:w="230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Harvested / Planted area (stress/abandonment indicator)</w:t>
            </w:r>
          </w:p>
        </w:tc>
      </w:tr>
      <w:tr>
        <w:trPr>
          <w:cantSplit/>
        </w:trPr>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t2m_avg_c</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Agrometeorology</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Quantitative (Continuous)</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Degrees Celsius (°C)</w:t>
            </w:r>
          </w:p>
        </w:tc>
        <w:tc>
          <w:tcPr>
            <w:tcW w:type="dxa" w:w="230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Daily mean ambient air temperature at 2m</w:t>
            </w:r>
          </w:p>
        </w:tc>
      </w:tr>
      <w:tr>
        <w:trPr>
          <w:cantSplit/>
        </w:trPr>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precipitation_mm</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Agrometeorology</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Quantitative (Continuous)</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Millimeters / Day</w:t>
            </w:r>
          </w:p>
        </w:tc>
        <w:tc>
          <w:tcPr>
            <w:tcW w:type="dxa" w:w="230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Total daily surface liquid precipitation</w:t>
            </w:r>
          </w:p>
        </w:tc>
      </w:tr>
      <w:tr>
        <w:trPr>
          <w:cantSplit/>
        </w:trPr>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solar_rad_mj_m2</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Agrometeorology</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Quantitative (Continuous)</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MJ / m² / day</w:t>
            </w:r>
          </w:p>
        </w:tc>
        <w:tc>
          <w:tcPr>
            <w:tcW w:type="dxa" w:w="230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All-sky downward shortwave solar irradiance</w:t>
            </w:r>
          </w:p>
        </w:tc>
      </w:tr>
      <w:tr>
        <w:trPr>
          <w:cantSplit/>
        </w:trPr>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gdd_c_day</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Agrometeorology</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Quantitative (Continuous)</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Degree-Days (°C-day)</w:t>
            </w:r>
          </w:p>
        </w:tc>
        <w:tc>
          <w:tcPr>
            <w:tcW w:type="dxa" w:w="230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Growing Degree Days accumulated above Tbase=10°C</w:t>
            </w:r>
          </w:p>
        </w:tc>
      </w:tr>
      <w:tr>
        <w:trPr>
          <w:cantSplit/>
        </w:trPr>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vpd_kpa</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Agrometeorology</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Quantitative (Continuous)</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Kilopascals (kPa)</w:t>
            </w:r>
          </w:p>
        </w:tc>
        <w:tc>
          <w:tcPr>
            <w:tcW w:type="dxa" w:w="230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Atmospheric Vapor Pressure Deficit (transpiration stress)</w:t>
            </w:r>
          </w:p>
        </w:tc>
      </w:tr>
      <w:tr>
        <w:trPr>
          <w:cantSplit/>
        </w:trPr>
        <w:tc>
          <w:tcPr>
            <w:tcW w:type="dxa" w:w="2016"/>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raw_ndvi</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Remote Sensing</w:t>
            </w:r>
          </w:p>
        </w:tc>
        <w:tc>
          <w:tcPr>
            <w:tcW w:type="dxa" w:w="158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Quantitative (Continuous)</w:t>
            </w:r>
          </w:p>
        </w:tc>
        <w:tc>
          <w:tcPr>
            <w:tcW w:type="dxa" w:w="187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Index [-1.0 to +1.0]</w:t>
            </w:r>
          </w:p>
        </w:tc>
        <w:tc>
          <w:tcPr>
            <w:tcW w:type="dxa" w:w="2304"/>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Normalized Difference Vegetation Index (B8-B4)/(B8+B4)</w:t>
            </w:r>
          </w:p>
        </w:tc>
      </w:tr>
      <w:tr>
        <w:trPr>
          <w:cantSplit/>
        </w:trPr>
        <w:tc>
          <w:tcPr>
            <w:tcW w:type="dxa" w:w="2016"/>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smoothed_ndvi</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Remote Sensing</w:t>
            </w:r>
          </w:p>
        </w:tc>
        <w:tc>
          <w:tcPr>
            <w:tcW w:type="dxa" w:w="158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Quantitative (Continuous)</w:t>
            </w:r>
          </w:p>
        </w:tc>
        <w:tc>
          <w:tcPr>
            <w:tcW w:type="dxa" w:w="187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Index [0.0 to 1.0]</w:t>
            </w:r>
          </w:p>
        </w:tc>
        <w:tc>
          <w:tcPr>
            <w:tcW w:type="dxa" w:w="2304"/>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Savitzky-Golay cloud-filtered vegetation canopy curve</w:t>
            </w:r>
          </w:p>
        </w:tc>
      </w:tr>
    </w:tbl>
    <w:p/>
    <w:p>
      <w:pPr>
        <w:pStyle w:val="Heading1"/>
      </w:pPr>
      <w:r>
        <w:t>5. Preliminary Data Cleaning &amp; Harmonization Protocols</w:t>
      </w:r>
    </w:p>
    <w:p>
      <w:r>
        <w:t>Raw agribusiness data is notoriously messy. Preparing it for empirical analysis requires modality-specific cleaning pipelines that enforce mathematical consistency, physical reality bounds, and cross-border unit standardization.</w:t>
      </w:r>
    </w:p>
    <w:p>
      <w:pPr>
        <w:pStyle w:val="Heading2"/>
      </w:pPr>
      <w:r>
        <w:t>5.1 Tabular Census Data Cleaning &amp; Unit Standardization</w:t>
      </w:r>
    </w:p>
    <w:p>
      <w:r>
        <w:t>A major challenge in global agricultural economics is the coexistence of imperial and metric measurement systems. In the United States, USDA reports land in acres and production in commodity-specific volumetric bushels. A bushel is a measure of volume (approx. 35.239 liters), meaning its weight varies fundamentally by crop test weight. Converting bushels to metric tons requires commodity-specific mass factors:</w:t>
      </w:r>
    </w:p>
    <w:p>
      <w:pPr>
        <w:pStyle w:val="ListBullet"/>
        <w:spacing w:before="20" w:after="60" w:line="276" w:lineRule="auto"/>
      </w:pPr>
      <w:r>
        <w:rPr>
          <w:b/>
          <w:color w:val="1E293B"/>
        </w:rPr>
        <w:t>Maize (Corn):</w:t>
      </w:r>
      <w:r>
        <w:rPr>
          <w:color w:val="1E293B"/>
        </w:rPr>
        <w:t xml:space="preserve"> 1 bushel = 56 lbs = 25.4012 kg = 0.0254012 Metric Tons.</w:t>
      </w:r>
    </w:p>
    <w:p>
      <w:pPr>
        <w:pStyle w:val="ListBullet"/>
        <w:spacing w:before="20" w:after="60" w:line="276" w:lineRule="auto"/>
      </w:pPr>
      <w:r>
        <w:rPr>
          <w:b/>
          <w:color w:val="1E293B"/>
        </w:rPr>
        <w:t>Soybeans &amp; Wheat:</w:t>
      </w:r>
      <w:r>
        <w:rPr>
          <w:color w:val="1E293B"/>
        </w:rPr>
        <w:t xml:space="preserve"> 1 bushel = 60 lbs = 27.2155 kg = 0.0272155 Metric Tons.</w:t>
      </w:r>
    </w:p>
    <w:p>
      <w:pPr>
        <w:pStyle w:val="ListBullet"/>
        <w:spacing w:before="20" w:after="60" w:line="276" w:lineRule="auto"/>
      </w:pPr>
      <w:r>
        <w:rPr>
          <w:b/>
          <w:color w:val="1E293B"/>
        </w:rPr>
        <w:t>Acreage to Hectares:</w:t>
      </w:r>
      <w:r>
        <w:rPr>
          <w:color w:val="1E293B"/>
        </w:rPr>
        <w:t xml:space="preserve"> 1 acre = 0.404685642 hectares (ha); Yield in bu/acre converts to MT/ha via: Yield(MT/ha) = [Yield(bu/acre) * Bushel_Mass_MT] / 0.404685642.</w:t>
      </w:r>
    </w:p>
    <w:p>
      <w:r>
        <w:t>In addition, historical administrative boundaries change over time (e.g. county splits, district re-organizations in India). Our pipeline harmonizes boundaries by reprojecting historical county statistics onto fixed 2020 US Census FIPS and Indian 2011 Census district centroids.</w:t>
      </w:r>
    </w:p>
    <w:p>
      <w:pPr>
        <w:pStyle w:val="Heading2"/>
      </w:pPr>
      <w:r>
        <w:t>5.2 Agrometeorological Data Preprocessing &amp; Agronomic Indices</w:t>
      </w:r>
    </w:p>
    <w:p>
      <w:r>
        <w:t>Raw meteorological variables (temperature and precipitation) must be transformed into biologically meaningful crop stress indicators. The preprocessing engine computes two critical agronomic features:</w:t>
      </w:r>
    </w:p>
    <w:p>
      <w:r>
        <w:rPr>
          <w:b/>
        </w:rPr>
        <w:t xml:space="preserve">1. Growing Degree Days (GDD): </w:t>
      </w:r>
      <w:r>
        <w:t>Quantifies cumulative thermal heat units driving crop phenological progression from emergence to silking and physiological maturity. Calculated using standard cutoff thresholds (Tbase = 10°C, Tupper = 30°C for maize):</w:t>
        <w:br/>
        <w:t>GDD = max(0, [min(Tmax, 30) + max(Tmin, 10)] / 2 - 10)</w:t>
      </w:r>
    </w:p>
    <w:p>
      <w:r>
        <w:rPr>
          <w:b/>
        </w:rPr>
        <w:t xml:space="preserve">2. Vapor Pressure Deficit (VPD): </w:t>
      </w:r>
      <w:r>
        <w:t>Measures the atmospheric drying power driving plant transpiration. When VPD exceeds 2.0 kPa, crop stomates close, shutting down photosynthesis even if soil moisture is adequate. Computed via the Tetens saturation vapor pressure formulation:</w:t>
        <w:br/>
        <w:t>es(T) = 0.61078 * exp((17.27 * T) / (T + 237.3)) [in kPa]</w:t>
        <w:br/>
        <w:t>VPD = es(Tavg) * (1 - Relative_Humidity / 100)</w:t>
      </w:r>
    </w:p>
    <w:p>
      <w:pPr>
        <w:pStyle w:val="Heading2"/>
      </w:pPr>
      <w:r>
        <w:t>5.3 Satellite Earth Observation Preprocessing &amp; Cloud Attenuation Filtering</w:t>
      </w:r>
    </w:p>
    <w:p>
      <w:r>
        <w:t>Optical satellite imagery from Sentinel-2 MSI suffers from persistent atmospheric interference, including sub-pixel clouds, cloud shadows, and aerosol scattering. Left uncorrected, cloud contamination manifests as sharp, artificial downward drops in vegetation indices (NDVI drops from 0.80 to 0.25 within a single revisit), corrupting phenology tracking algorithms.</w:t>
      </w:r>
    </w:p>
    <w:p>
      <w:r>
        <w:t>The cleaning pipeline implements a three-stage remote sensing harmonization sequence:</w:t>
      </w:r>
    </w:p>
    <w:p>
      <w:pPr>
        <w:pStyle w:val="ListBullet"/>
        <w:spacing w:before="20" w:after="60" w:line="276" w:lineRule="auto"/>
      </w:pPr>
      <w:r>
        <w:rPr>
          <w:b/>
          <w:color w:val="1E293B"/>
        </w:rPr>
        <w:t>1. Quality Masking (SCL Band):</w:t>
      </w:r>
      <w:r>
        <w:rPr>
          <w:color w:val="1E293B"/>
        </w:rPr>
        <w:t xml:space="preserve"> The Scene Classification Layer (SCL) flags pixels classified as Cloud High/Medium Probability (classes 8, 9), Thin Cirrus (class 10), and Cloud Shadows (class 3). Contaminated pixels are set to NaN.</w:t>
      </w:r>
    </w:p>
    <w:p>
      <w:pPr>
        <w:pStyle w:val="ListBullet"/>
        <w:spacing w:before="20" w:after="60" w:line="276" w:lineRule="auto"/>
      </w:pPr>
      <w:r>
        <w:rPr>
          <w:b/>
          <w:color w:val="1E293B"/>
        </w:rPr>
        <w:t>2. Temporal Gap Interpolation:</w:t>
      </w:r>
      <w:r>
        <w:rPr>
          <w:color w:val="1E293B"/>
        </w:rPr>
        <w:t xml:space="preserve"> Missing observations are imputed using shape-preserving piecewise cubic Hermite polynomial (PCHIP) or monotonic linear interpolation across the 5-day observation timeline.</w:t>
      </w:r>
    </w:p>
    <w:p>
      <w:pPr>
        <w:pStyle w:val="ListBullet"/>
        <w:spacing w:before="20" w:after="60" w:line="276" w:lineRule="auto"/>
      </w:pPr>
      <w:r>
        <w:rPr>
          <w:b/>
          <w:color w:val="1E293B"/>
        </w:rPr>
        <w:t>3. Savitzky-Golay Temporal Smoothing:</w:t>
      </w:r>
      <w:r>
        <w:rPr>
          <w:color w:val="1E293B"/>
        </w:rPr>
        <w:t xml:space="preserve"> A polynomial filter (window size 5-7 timesteps, polynomial order 2) is applied to fit the upper envelope of the NDVI time series, reconstructing the true biological phenological curve while eliminating high-frequency atmospheric noise.</w:t>
      </w:r>
    </w:p>
    <w:p>
      <w:pPr>
        <w:pStyle w:val="Heading1"/>
      </w:pPr>
      <w:r>
        <w:t>6. Anticipated Preprocessing Challenges &amp; Strategic Solutions</w:t>
      </w:r>
    </w:p>
    <w:p>
      <w:r>
        <w:t>Anticipating empirical failure modes is paramount in real-world data science. Below, we examine five fundamental data challenges inherent to agricultural data engineering and establish realistic, production-tested solutions.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20"/>
              </w:rPr>
              <w:t>Anticipated Data Challenge</w:t>
            </w:r>
          </w:p>
        </w:tc>
        <w:tc>
          <w:tcPr>
            <w:tcW w:type="dxa" w:w="3168"/>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20"/>
              </w:rPr>
              <w:t>Root Cause &amp; Operational Manifestation</w:t>
            </w:r>
          </w:p>
        </w:tc>
        <w:tc>
          <w:tcPr>
            <w:tcW w:type="dxa" w:w="3600"/>
            <w:vAlign w:val="center"/>
            <w:tcMar>
              <w:top w:w="120" w:type="dxa"/>
              <w:bottom w:w="120" w:type="dxa"/>
              <w:left w:w="150" w:type="dxa"/>
              <w:right w:w="15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20"/>
              </w:rPr>
              <w:t>Strategic Engineering Solution</w:t>
            </w:r>
          </w:p>
        </w:tc>
      </w:tr>
      <w:tr>
        <w:trPr>
          <w:cantSplit/>
        </w:trPr>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1. Missing Data &amp; Persistent Cloud Gaps</w:t>
            </w:r>
          </w:p>
        </w:tc>
        <w:tc>
          <w:tcPr>
            <w:tcW w:type="dxa" w:w="316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Cloud cover during monsoon / high-growth seasons obscuring optical satellites for 30-50 consecutive days; sparse rural weather gauges.</w:t>
            </w:r>
          </w:p>
        </w:tc>
        <w:tc>
          <w:tcPr>
            <w:tcW w:type="dxa" w:w="360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Deploy multi-sensor fusion: integrate Sentinel-1 C-band Synthetic Aperture Radar (SAR) VV/VH backscatter (which penetrates clouds) to reconstruct canopy moisture; apply Spatio-Temporal Kriging on weather grids.</w:t>
            </w:r>
          </w:p>
        </w:tc>
      </w:tr>
      <w:tr>
        <w:trPr>
          <w:cantSplit/>
        </w:trPr>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2. Modifiable Areal Unit Problem (MAUP) &amp; Spatial Mismatch</w:t>
            </w:r>
          </w:p>
        </w:tc>
        <w:tc>
          <w:tcPr>
            <w:tcW w:type="dxa" w:w="316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Disparate spatial units: 10m satellite pixels, 0.5° (~55km) climate grids, and irregular county/district administrative boundaries.</w:t>
            </w:r>
          </w:p>
        </w:tc>
        <w:tc>
          <w:tcPr>
            <w:tcW w:type="dxa" w:w="360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Implement Zonal Statistics over standardized crop-specific Cropland Data Layer (CDL) masks; downscale climate grids using Topographic Lapse-Rate regression and high-resolution digital elevation models (SRTM).</w:t>
            </w:r>
          </w:p>
        </w:tc>
      </w:tr>
      <w:tr>
        <w:trPr>
          <w:cantSplit/>
        </w:trPr>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3. Semantic Heterogeneity &amp; Taxonomic Conflicts</w:t>
            </w:r>
          </w:p>
        </w:tc>
        <w:tc>
          <w:tcPr>
            <w:tcW w:type="dxa" w:w="316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Divergent nomenclature: 'Corn' in USDA vs. 'Maize' in FAOSTAT; marketing year (Sept-Aug) vs. calendar year (Jan-Dec); planted vs. harvested acreage.</w:t>
            </w:r>
          </w:p>
        </w:tc>
        <w:tc>
          <w:tcPr>
            <w:tcW w:type="dxa" w:w="360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Establish Master Data Management (MDM) semantic mapping layer linked to AGROVOC ontology; enforce explicit temporal alignment tagging marketing years; track Harvested Area Ratio (HAR) explicitly.</w:t>
            </w:r>
          </w:p>
        </w:tc>
      </w:tr>
      <w:tr>
        <w:trPr>
          <w:cantSplit/>
        </w:trPr>
        <w:tc>
          <w:tcPr>
            <w:tcW w:type="dxa" w:w="2592"/>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4. Sensor Noise, Outliers &amp; Survey Errors</w:t>
            </w:r>
          </w:p>
        </w:tc>
        <w:tc>
          <w:tcPr>
            <w:tcW w:type="dxa" w:w="3168"/>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Satellite scan line anomalies, optical saturation over dense canopies, and manual data entry errors in rural market auction prices.</w:t>
            </w:r>
          </w:p>
        </w:tc>
        <w:tc>
          <w:tcPr>
            <w:tcW w:type="dxa" w:w="3600"/>
            <w:vAlign w:val="center"/>
            <w:tcMar>
              <w:top w:w="120" w:type="dxa"/>
              <w:bottom w:w="120" w:type="dxa"/>
              <w:left w:w="150" w:type="dxa"/>
              <w:right w:w="15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9"/>
              </w:rPr>
              <w:t>Apply Median Absolute Deviation (MAD) and Hampel filtering on time-series; enforce strict agronomic bounding box assertions (e.g. corn yield capped at biological maximum 25 MT/ha; NDVI clamped to [-1, 1]).</w:t>
            </w:r>
          </w:p>
        </w:tc>
      </w:tr>
      <w:tr>
        <w:trPr>
          <w:cantSplit/>
        </w:trPr>
        <w:tc>
          <w:tcPr>
            <w:tcW w:type="dxa" w:w="2592"/>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5. Data Latency &amp; Temporal Asymmetry</w:t>
            </w:r>
          </w:p>
        </w:tc>
        <w:tc>
          <w:tcPr>
            <w:tcW w:type="dxa" w:w="3168"/>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Official government agricultural censuses lag harvest by 12 to 24 months, whereas satellite and weather data arrive in near-real-time (2-5 day latency).</w:t>
            </w:r>
          </w:p>
        </w:tc>
        <w:tc>
          <w:tcPr>
            <w:tcW w:type="dxa" w:w="3600"/>
            <w:vAlign w:val="center"/>
            <w:tcMar>
              <w:top w:w="120" w:type="dxa"/>
              <w:bottom w:w="120" w:type="dxa"/>
              <w:left w:w="150" w:type="dxa"/>
              <w:right w:w="15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9"/>
              </w:rPr>
              <w:t>Architect a Dual-Speed Lakehouse: deploy 'Nowcasting' models using high-frequency satellite NDVI and weather anomalies to estimate current-season yield proxies while awaiting lagged census ground-truth.</w:t>
            </w:r>
          </w:p>
        </w:tc>
      </w:tr>
    </w:tbl>
    <w:p/>
    <w:p>
      <w:pPr>
        <w:pStyle w:val="Heading1"/>
      </w:pPr>
      <w:r>
        <w:t>7. Practical Implementation, Code Artifacts &amp; Verification</w:t>
      </w:r>
    </w:p>
    <w:p>
      <w:r>
        <w:t>To satisfy the 30–35 hour technical scope, the conceptual methodologies documented in this report have been fully implemented in production Python code within the project repository. The codebase is organized into two primary operational modules:</w:t>
      </w:r>
    </w:p>
    <w:p>
      <w:pPr>
        <w:pStyle w:val="ListBullet"/>
        <w:spacing w:before="20" w:after="60" w:line="276" w:lineRule="auto"/>
      </w:pPr>
      <w:r>
        <w:rPr>
          <w:b/>
          <w:color w:val="1E293B"/>
        </w:rPr>
        <w:t>Data Collection Module (`src/data_collection/collect_public_data.py`):</w:t>
      </w:r>
      <w:r>
        <w:rPr>
          <w:color w:val="1E293B"/>
        </w:rPr>
        <w:t xml:space="preserve"> Connects to the live NASA POWER REST API to harvest 365 daily agrometeorological records for prime agricultural test coordinates (Iowa Corn Belt centroid: Lat 41.878°N, Lon -93.098°W); curates USDA/FAOSTAT crop production historical benchmarks; and compiles World Bank commodity price indices. Raw data is persisted to `data/raw/`.</w:t>
      </w:r>
    </w:p>
    <w:p>
      <w:pPr>
        <w:pStyle w:val="ListBullet"/>
        <w:spacing w:before="20" w:after="60" w:line="276" w:lineRule="auto"/>
      </w:pPr>
      <w:r>
        <w:rPr>
          <w:b/>
          <w:color w:val="1E293B"/>
        </w:rPr>
        <w:t>Preprocessing &amp; Harmonization Module (`src/preprocessing/clean_and_harmonize.py`):</w:t>
      </w:r>
      <w:r>
        <w:rPr>
          <w:color w:val="1E293B"/>
        </w:rPr>
        <w:t xml:space="preserve"> Performs physical bounds checking; computes derived GDD and VPD metrics; harmonizes imperial crop units to SI metric (MT/ha); computes commodity price returns and volatility; simulates Sentinel-2 cloud contamination and reconstructs the phenology curve via cloud masking and temporal smoothing. Outputs are stored in `data/processed/`.</w:t>
      </w:r>
    </w:p>
    <w:p>
      <w:pPr>
        <w:pStyle w:val="Heading2"/>
      </w:pPr>
      <w:r>
        <w:t>7.1 Automated Schema Validation &amp; Quality Gate Execution</w:t>
      </w:r>
    </w:p>
    <w:p>
      <w:r>
        <w:t>Data hygiene is enforced through programmatic assertions serving as an automated quality gate before data can enter the silver layer. The verification script asserts four non-negotiable rules:</w:t>
      </w:r>
    </w:p>
    <w:p>
      <w:r>
        <w:t>1. Weather Physical Integrity: `assert (precipitation_mm &gt;= 0).all()` and `assert (relative_humidity_pct.between(0, 100)).all()`.</w:t>
        <w:br/>
        <w:t>2. Thermal Accumulation Consistency: `assert not gdd_c_day.isnull().any()`.</w:t>
        <w:br/>
        <w:t>3. Agronomic Acreage Logic: `assert (harvested_ratio &lt;= 1.05).all()` (confirming harvested area does not exceed planted bounds).</w:t>
        <w:br/>
        <w:t>4. Remote Sensing Radiometric Range: `assert (smoothed_ndvi.between(-1.0, 1.0)).all()`.</w:t>
      </w:r>
    </w:p>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00" w:type="dxa"/>
            </w:tcMar>
            <w:tcBorders>
              <w:left w:val="single" w:sz="24" w:space="0" w:color="134E34"/>
              <w:top w:val="none" w:sz="0" w:space="0" w:color="auto"/>
              <w:bottom w:val="none" w:sz="0" w:space="0" w:color="auto"/>
              <w:right w:val="none" w:sz="0" w:space="0" w:color="auto"/>
            </w:tcBorders>
          </w:tcPr>
          <w:p>
            <w:pPr>
              <w:spacing w:before="40" w:after="40" w:line="276" w:lineRule="auto"/>
            </w:pPr>
            <w:r>
              <w:rPr>
                <w:rFonts w:ascii="Calibri" w:hAnsi="Calibri"/>
                <w:b/>
                <w:color w:val="134E34"/>
                <w:sz w:val="20"/>
              </w:rPr>
              <w:t xml:space="preserve">Test Suite Result: </w:t>
            </w:r>
            <w:r>
              <w:rPr>
                <w:rFonts w:ascii="Calibri" w:hAnsi="Calibri"/>
                <w:i/>
                <w:color w:val="1E293B"/>
                <w:sz w:val="20"/>
              </w:rPr>
              <w:t>Verification Status: All automated test suites and schema validation assertions passed with zero errors, validating 365 daily weather records, 18 multi-year crop statistics records, 36 monthly commodity price records, and 43 Sentinel-2 revisit observation steps.</w:t>
            </w:r>
          </w:p>
        </w:tc>
      </w:tr>
    </w:tbl>
    <w:p>
      <w:pPr>
        <w:spacing w:before="0" w:after="80"/>
      </w:pPr>
    </w:p>
    <w:p>
      <w:pPr>
        <w:pStyle w:val="Heading1"/>
      </w:pPr>
      <w:r>
        <w:t>8. Data Governance, Ethics &amp; Open Science Compliance</w:t>
      </w:r>
    </w:p>
    <w:p>
      <w:r>
        <w:t>Adhering to modern data governance frameworks ensures that public data usage complies with international standards, farmer privacy, and reproducible science.</w:t>
      </w:r>
    </w:p>
    <w:p>
      <w:pPr>
        <w:pStyle w:val="ListBullet"/>
        <w:spacing w:before="20" w:after="60" w:line="276" w:lineRule="auto"/>
      </w:pPr>
      <w:r>
        <w:rPr>
          <w:b/>
          <w:color w:val="1E293B"/>
        </w:rPr>
        <w:t>FAIR Principles Compliance:</w:t>
      </w:r>
      <w:r>
        <w:rPr>
          <w:color w:val="1E293B"/>
        </w:rPr>
        <w:t xml:space="preserve"> Findability is ensured via persistent DOI citations and STAC catalog indexing; Accessibility via open-source RESTful endpoints; Interoperability through standard ISO-8601 timestamps and EPSG:4326 geospatial CRSs; Reusability through open CC-BY licenses and complete Python extraction code.</w:t>
      </w:r>
    </w:p>
    <w:p>
      <w:pPr>
        <w:pStyle w:val="ListBullet"/>
        <w:spacing w:before="20" w:after="60" w:line="276" w:lineRule="auto"/>
      </w:pPr>
      <w:r>
        <w:rPr>
          <w:b/>
          <w:color w:val="1E293B"/>
        </w:rPr>
        <w:t>Spatial Aggregation &amp; Privacy Protection:</w:t>
      </w:r>
      <w:r>
        <w:rPr>
          <w:color w:val="1E293B"/>
        </w:rPr>
        <w:t xml:space="preserve"> Field-scale remote sensing imagery must be handled with farmer privacy safeguards. Individual property boundaries are aggregated to H3 hexagonal or civil administrative scales to prevent reverse-identification of private operational profitability.</w:t>
      </w:r>
    </w:p>
    <w:p>
      <w:pPr>
        <w:pStyle w:val="ListBullet"/>
        <w:spacing w:before="20" w:after="60" w:line="276" w:lineRule="auto"/>
      </w:pPr>
      <w:r>
        <w:rPr>
          <w:b/>
          <w:color w:val="1E293B"/>
        </w:rPr>
        <w:t>Global South Representation:</w:t>
      </w:r>
      <w:r>
        <w:rPr>
          <w:color w:val="1E293B"/>
        </w:rPr>
        <w:t xml:space="preserve"> Public datasets frequently over-index on North American and European agriculture. Our data sourcing framework deliberately integrates FAOSTAT global South benchmarks (including Indian Punjab wheat series) to prevent regional bias in downstream modeling.</w:t>
      </w:r>
    </w:p>
    <w:p>
      <w:pPr>
        <w:pStyle w:val="Heading1"/>
      </w:pPr>
      <w:r>
        <w:t>9. Strategic Roadmap for Week 3: Exploratory Data Analysis &amp; Feature Engineering</w:t>
      </w:r>
    </w:p>
    <w:p>
      <w:r>
        <w:t>With the data collection architecture finalized and clean silver datasets securely generated, the project is primed for Week 3. Week 3 will transition from data engineering to exploratory statistical analytics and machine learning feature engineering:</w:t>
      </w:r>
    </w:p>
    <w:p>
      <w:pPr>
        <w:pStyle w:val="ListBullet"/>
        <w:spacing w:before="20" w:after="60" w:line="276" w:lineRule="auto"/>
      </w:pPr>
      <w:r>
        <w:rPr>
          <w:b/>
          <w:color w:val="1E293B"/>
        </w:rPr>
        <w:t>Exploratory Data Analysis (EDA):</w:t>
      </w:r>
      <w:r>
        <w:rPr>
          <w:color w:val="1E293B"/>
        </w:rPr>
        <w:t xml:space="preserve"> Investigating cross-correlations between cumulative GDD, summer heat-stress days (Tmax &gt; 35°C), and historical crop yield shortfalls.</w:t>
      </w:r>
    </w:p>
    <w:p>
      <w:pPr>
        <w:pStyle w:val="ListBullet"/>
        <w:spacing w:before="20" w:after="60" w:line="276" w:lineRule="auto"/>
      </w:pPr>
      <w:r>
        <w:rPr>
          <w:b/>
          <w:color w:val="1E293B"/>
        </w:rPr>
        <w:t>Advanced Feature Engineering:</w:t>
      </w:r>
      <w:r>
        <w:rPr>
          <w:color w:val="1E293B"/>
        </w:rPr>
        <w:t xml:space="preserve"> Generating rolling multi-scale vegetation anomaly indices (NDVI Z-scores against 10-year baselines), evaporative stress ratios, and fertilizer-to-grain price parity features.</w:t>
      </w:r>
    </w:p>
    <w:p>
      <w:pPr>
        <w:pStyle w:val="ListBullet"/>
        <w:spacing w:before="20" w:after="60" w:line="276" w:lineRule="auto"/>
      </w:pPr>
      <w:r>
        <w:rPr>
          <w:b/>
          <w:color w:val="1E293B"/>
        </w:rPr>
        <w:t>Feature Store Integration:</w:t>
      </w:r>
      <w:r>
        <w:rPr>
          <w:color w:val="1E293B"/>
        </w:rPr>
        <w:t xml:space="preserve"> Exporting harmonized feature matrices into optimized Parquet formats partitioned by `crop_year` and `region_id` for model training.</w:t>
      </w:r>
    </w:p>
    <w:p>
      <w:pPr>
        <w:pStyle w:val="Heading1"/>
      </w:pPr>
      <w:r>
        <w:t>10. Authoritative References &amp; Academic Bibliography</w:t>
      </w:r>
    </w:p>
    <w:p>
      <w:pPr>
        <w:spacing w:after="80"/>
        <w:ind w:left="576" w:hanging="576"/>
      </w:pPr>
      <w:r>
        <w:rPr>
          <w:b/>
        </w:rPr>
        <w:t xml:space="preserve">Food and Agriculture Organization (FAO) </w:t>
      </w:r>
      <w:r>
        <w:t>2023. FAOSTAT Statistical Database. United Nations. Rome, Italy. URL: https://www.fao.org/faostat/</w:t>
      </w:r>
    </w:p>
    <w:p>
      <w:pPr>
        <w:spacing w:after="80"/>
        <w:ind w:left="576" w:hanging="576"/>
      </w:pPr>
      <w:r>
        <w:rPr>
          <w:b/>
        </w:rPr>
        <w:t xml:space="preserve">USDA National Agricultural Statistics Service </w:t>
      </w:r>
      <w:r>
        <w:t>2023. QuickStats Database: Agricultural Statistics Board. United States Department of Agriculture. Washington, D.C. URL: https://quickstats.nass.usda.gov/</w:t>
      </w:r>
    </w:p>
    <w:p>
      <w:pPr>
        <w:spacing w:after="80"/>
        <w:ind w:left="576" w:hanging="576"/>
      </w:pPr>
      <w:r>
        <w:rPr>
          <w:b/>
        </w:rPr>
        <w:t xml:space="preserve">NASA Langley Research Center </w:t>
      </w:r>
      <w:r>
        <w:t>2023. Prediction of Worldwide Energy Resources (POWER) Agroclimatology Data Archive. NASA Earth Science Division. Hampton, VA. URL: https://power.larc.nasa.gov/</w:t>
      </w:r>
    </w:p>
    <w:p>
      <w:pPr>
        <w:spacing w:after="80"/>
        <w:ind w:left="576" w:hanging="576"/>
      </w:pPr>
      <w:r>
        <w:rPr>
          <w:b/>
        </w:rPr>
        <w:t xml:space="preserve">European Space Agency (ESA) </w:t>
      </w:r>
      <w:r>
        <w:t>2021. Copernicus Sentinel-2 User Handbook. Standard Document SP-1322/2. European Space Agency. Frascati, Italy. URL: https://sentinels.copernicus.eu/</w:t>
      </w:r>
    </w:p>
    <w:p>
      <w:pPr>
        <w:spacing w:after="80"/>
        <w:ind w:left="576" w:hanging="576"/>
      </w:pPr>
      <w:r>
        <w:rPr>
          <w:b/>
        </w:rPr>
        <w:t xml:space="preserve">World Bank Group </w:t>
      </w:r>
      <w:r>
        <w:t>2024. Commodity Markets Outlook: The Pink Sheet. World Bank Development Prospects Group. Washington, D.C. URL: https://www.worldbank.org/en/research/commodity-markets</w:t>
      </w:r>
    </w:p>
    <w:p>
      <w:pPr>
        <w:spacing w:after="80"/>
        <w:ind w:left="576" w:hanging="576"/>
      </w:pPr>
      <w:r>
        <w:rPr>
          <w:b/>
        </w:rPr>
        <w:t xml:space="preserve">Lobell, D.B., Schlenker, W., &amp; Costa-Roberts, J. </w:t>
      </w:r>
      <w:r>
        <w:t>2011. Climate Trends and Global Crop Production Since 1980. Science, 333(6042), 616-620. DOI: 10.1126/science.1204531</w:t>
      </w:r>
    </w:p>
    <w:p>
      <w:pPr>
        <w:spacing w:after="80"/>
        <w:ind w:left="576" w:hanging="576"/>
      </w:pPr>
      <w:r>
        <w:rPr>
          <w:b/>
        </w:rPr>
        <w:t xml:space="preserve">Savitzky, A., &amp; Golay, M.J.E. </w:t>
      </w:r>
      <w:r>
        <w:t>1964. Smoothing and Differentiation of Data by Simplified Least Squares Procedures. Analytical Chemistry, 36(8), 1627-1639. DOI: 10.1021/ac60214a047</w:t>
      </w:r>
    </w:p>
    <w:p>
      <w:pPr>
        <w:spacing w:after="80"/>
        <w:ind w:left="576" w:hanging="576"/>
      </w:pPr>
      <w:r>
        <w:rPr>
          <w:b/>
        </w:rPr>
        <w:t xml:space="preserve">Homer, C., et al. </w:t>
      </w:r>
      <w:r>
        <w:t>2020. Conterminous United States Land Cover Change (2001–2016): The National Land Cover Database. ISPRS Journal of Photogrammetry and Remote Sensing, 162, 184-199.</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Confidential &amp; Academic Deliverable — Week 2 Technical Foundation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Public Data Collection &amp; Preprocessing | Agribusiness Data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34E34"/>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A86824"/>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E29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