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564"/>
          <w:sz w:val="34"/>
        </w:rPr>
        <w:t>Architecture - The AI-Native Organization</w:t>
      </w:r>
    </w:p>
    <w:p>
      <w:r>
        <w:rPr>
          <w:i w:val="0"/>
        </w:rPr>
        <w:t>Cornerstone Relief International (CRI)  |  Document 1 of 6</w:t>
      </w:r>
    </w:p>
    <w:p>
      <w:r>
        <w:rPr>
          <w:i w:val="0"/>
          <w:color w:val="555555"/>
          <w:sz w:val="18"/>
        </w:rPr>
        <w:t>Owner: Daniel Okoro, Platform Lead   |   Accountable: Grace Adeyemi, Director of IT   |   Version 1.0   |   Review: 90 days</w:t>
      </w:r>
    </w:p>
    <w:p>
      <w:r>
        <w:rPr>
          <w:i/>
          <w:sz w:val="18"/>
        </w:rPr>
        <w:t>"Unless the LORD builds the house, those who labor build in vain." - Psalm 127:1 (ESV)</w:t>
      </w:r>
    </w:p>
    <w:p>
      <w:r>
        <w:rPr>
          <w:color w:val="BBBBBB"/>
          <w:sz w:val="16"/>
        </w:rPr>
        <w:t>________________________________________________________________________________________________</w:t>
      </w:r>
    </w:p>
    <w:p>
      <w:r>
        <w:rPr>
          <w:b/>
          <w:color w:val="1F3564"/>
          <w:sz w:val="25"/>
        </w:rPr>
        <w:t>1.  The design in one sentence</w:t>
      </w:r>
    </w:p>
    <w:p>
      <w:r>
        <w:rPr>
          <w:i w:val="0"/>
        </w:rPr>
        <w:t>Two serving lanes - a self-hosted RESTRICTED lane for beneficiary case notes and a commercial API lane for everything else - running on one Kubernetes control plane, with one identity plane above them, one OpenTelemetry and WORM-audit backbone beneath them, and a written autonomy ladder deciding what a machine may do without asking a human.</w:t>
      </w:r>
    </w:p>
    <w:p>
      <w:r>
        <w:rPr>
          <w:i w:val="0"/>
        </w:rPr>
        <w:t>The split is the whole architecture. It exists because CRI owes a different duty to a beneficiary's medical record than it owes to an IT ticket, and an architecture that treats those the same has already made a decision the board did not authorise.</w:t>
      </w:r>
    </w:p>
    <w:p>
      <w:r>
        <w:rPr>
          <w:b/>
          <w:color w:val="1F3564"/>
          <w:sz w:val="25"/>
        </w:rPr>
        <w:t>2.  The picture</w:t>
      </w:r>
    </w:p>
    <w:p>
      <w:pPr>
        <w:spacing w:after="120" w:line="240" w:lineRule="auto"/>
      </w:pPr>
      <w:r>
        <w:rPr>
          <w:rFonts w:ascii="Consolas" w:hAnsi="Consolas"/>
          <w:sz w:val="12"/>
        </w:rPr>
        <w:br/>
        <w:t xml:space="preserve"> CORNERSTONE RELIEF INTERNATIONAL - AI-NATIVE REFERENCE ARCHITECTURE</w:t>
        <w:br/>
        <w:t xml:space="preserve"> Two lanes. One control plane. Every organ has a named owner.</w:t>
        <w:br/>
        <w:br/>
        <w:t xml:space="preserve"> +==========================================================================================+</w:t>
        <w:br/>
        <w:t xml:space="preserve"> |  IDENTITY PLANE   (Tomas Weber)                                                          |</w:t>
        <w:br/>
        <w:t xml:space="preserve"> |  Single IdP - SSO everywhere - FIDO2 MFA - JIT elevation, 0 standing admin                |</w:t>
        <w:br/>
        <w:t xml:space="preserve"> |  Workload/agent identity: 60-min scoped tokens, never long-lived secrets                  |</w:t>
        <w:br/>
        <w:t xml:space="preserve"> +==========================================================================================+</w:t>
        <w:br/>
        <w:t xml:space="preserve">                                        |</w:t>
        <w:br/>
        <w:t xml:space="preserve"> +==========================================================================================+</w:t>
        <w:br/>
        <w:t xml:space="preserve"> |  CONTROL PLANE    (Daniel Okoro)   Kubernetes &gt;=1.34 - GPU Operator - DRA - GitOps        |</w:t>
        <w:br/>
        <w:t xml:space="preserve"> |  Admission control: signed images only, digest-pinned, unsigned REJECTED                  |</w:t>
        <w:br/>
        <w:t xml:space="preserve"> +==========================================================================================+</w:t>
        <w:br/>
        <w:t xml:space="preserve">        |                                                              |</w:t>
        <w:br/>
        <w:t xml:space="preserve">        v                                                              v</w:t>
        <w:br/>
        <w:t xml:space="preserve"> +--------------------------------------------+   +--------------------------------------------+</w:t>
        <w:br/>
        <w:t xml:space="preserve"> |  LANE A  -  RESTRICTED   (Miguel Santos)   |   |  LANE B  -  INTERNAL    (Peter Novak)      |</w:t>
        <w:br/>
        <w:t xml:space="preserve"> |  Case-note RAG. Self-hosted. EGRESS: DENY  |   |  Staff assistant + AIOps. Commercial API   |</w:t>
        <w:br/>
        <w:t xml:space="preserve"> |                                            |   |                                            |</w:t>
        <w:br/>
        <w:t xml:space="preserve"> |   caseworker query                         |   |   staff request / telemetry event          |</w:t>
        <w:br/>
        <w:t xml:space="preserve"> |        |                                   |   |        |                                   |</w:t>
        <w:br/>
        <w:t xml:space="preserve"> |        v                                   |   |        v                                   |</w:t>
        <w:br/>
        <w:t xml:space="preserve"> |   [B2] ACL filter  -- BEFORE search        |   |   OpenAI-compatible gateway                |</w:t>
        <w:br/>
        <w:t xml:space="preserve"> |        |                                   |   |   spend cap $200/day HARD STOP             |</w:t>
        <w:br/>
        <w:t xml:space="preserve"> |        v                                   |   |   (Ruth Mensah)                            |</w:t>
        <w:br/>
        <w:t xml:space="preserve"> |   vector index  |  internal | quarantine   |   |        |                                   |</w:t>
        <w:br/>
        <w:t xml:space="preserve"> |        |         [B1] provenance split     |   |        v                                   |</w:t>
        <w:br/>
        <w:t xml:space="preserve"> |        v                                   |   |   tier routing: small-fast -&gt; mid          |</w:t>
        <w:br/>
        <w:t xml:space="preserve"> |   [B3] context: retrieved text = DATA      |   |        frontier = exception only           |</w:t>
        <w:br/>
        <w:t xml:space="preserve"> |        external present =&gt; TOOLS OFF       |   |        |                                   |</w:t>
        <w:br/>
        <w:t xml:space="preserve"> |        |                                   |   |        v                                   |</w:t>
        <w:br/>
        <w:t xml:space="preserve"> |        v                                   |   |   [B5] egress allow-list + DLP             |</w:t>
        <w:br/>
        <w:t xml:space="preserve"> |   vLLM / KServe   2 x H100-80GB            |   |        consumer chatbots BLOCKED           |</w:t>
        <w:br/>
        <w:t xml:space="preserve"> |   ~70B FP8, ctx 8192, 24 concurrent        |   |                                            |</w:t>
        <w:br/>
        <w:t xml:space="preserve"> |   weights = signed OCI artifact, DIGEST    |   |   NO RESTRICTED DATA MAY ENTER THIS LANE   |</w:t>
        <w:br/>
        <w:t xml:space="preserve"> |   VRAM: 70.0 wt + 64.4 KV + 16.1 oh = 151G |   |                                            |</w:t>
        <w:br/>
        <w:t xml:space="preserve"> |        |                                   |   +--------------------------------------------+</w:t>
        <w:br/>
        <w:t xml:space="preserve"> |        v                                   |</w:t>
        <w:br/>
        <w:t xml:space="preserve"> |   [B4] output: no image render, no link    |</w:t>
        <w:br/>
        <w:t xml:space="preserve"> |        auto-fetch, CSP img/connect = self  |</w:t>
        <w:br/>
        <w:t xml:space="preserve"> +--------------------------------------------+</w:t>
        <w:br/>
        <w:br/>
        <w:t xml:space="preserve"> +==========================================================================================+</w:t>
        <w:br/>
        <w:t xml:space="preserve"> |  AI-ASSISTED OPERATIONS   (Hannah Kim)          AUTONOMY LADDER  code/autonomy-ladder.yaml|</w:t>
        <w:br/>
        <w:t xml:space="preserve"> |  observe --------&gt; recommend --------&gt; approve --------&gt; act                              |</w:t>
        <w:br/>
        <w:t xml:space="preserve"> |  read-only         human applies       NAMED human       agent applies, logs, self-rolls   |</w:t>
        <w:br/>
        <w:t xml:space="preserve"> |  A-1 correlate     A-3 firewall*       A-5 scale         A-8 restart pod                   |</w:t>
        <w:br/>
        <w:t xml:space="preserve"> |  A-2 handover      A-4 reingest*       A-6 rotate cred   A-9 rotate logs                   |</w:t>
        <w:br/>
        <w:t xml:space="preserve"> |                    (*capped forever)   A-7 patch nonprod A-10 open ticket                  |</w:t>
        <w:br/>
        <w:t xml:space="preserve"> |  NEVER AUTOMATE: delete PV/beneficiary data - IdP roles - logging/backup - external comms  |</w:t>
        <w:br/>
        <w:t xml:space="preserve"> |                  - payments.   No promotion path. Hard floor.                             |</w:t>
        <w:br/>
        <w:t xml:space="preserve"> +==========================================================================================+</w:t>
        <w:br/>
        <w:br/>
        <w:t xml:space="preserve"> +==========================================================================================+</w:t>
        <w:br/>
        <w:t xml:space="preserve"> |  OBSERVABILITY + AUDIT   (Hannah Kim / Priya Raman)                                       |</w:t>
        <w:br/>
        <w:t xml:space="preserve"> |  OpenTelemetry backbone (infra + app + model)                                             |</w:t>
        <w:br/>
        <w:t xml:space="preserve"> |  WORM audit log - WRITE BEFORE EXECUTE. If the log write fails, the action does NOT run.  |</w:t>
        <w:br/>
        <w:t xml:space="preserve"> |  7-year retention (EU AI Act Art. 12). No production identity can delete from it.         |</w:t>
        <w:br/>
        <w:t xml:space="preserve"> +==========================================================================================+</w:t>
        <w:br/>
        <w:br/>
        <w:t xml:space="preserve"> +==========================================================================================+</w:t>
        <w:br/>
        <w:t xml:space="preserve"> |  GOVERNANCE + STOP AUTHORITY   (Grace Adeyemi, accountable)                               |</w:t>
        <w:br/>
        <w:t xml:space="preserve"> |  10-row control set - NIST AI RMF / EU AI Act / ISO 42001 - 90-day review                 |</w:t>
        <w:br/>
        <w:t xml:space="preserve"> |  KILL SWITCH: revokes every agent token, disables the ladder.                             |</w:t>
        <w:br/>
        <w:t xml:space="preserve"> |  ANY OF THE NINE MAY PULL IT. No approval required to stop. Tested quarterly.             |</w:t>
        <w:br/>
        <w:t xml:space="preserve"> +==========================================================================================+</w:t>
        <w:br/>
        <w:br/>
        <w:t xml:space="preserve"> +==========================================================================================+</w:t>
        <w:br/>
        <w:t xml:space="preserve"> |  BACKUP + AI DR   (Miguel Santos)                                                         |</w:t>
        <w:br/>
        <w:t xml:space="preserve"> |  3-2-1-1-0 - immutable copy in a separate account no agent can reach                      |</w:t>
        <w:br/>
        <w:t xml:space="preserve"> |  Restore TESTED quarterly and timed.  Donor DB RPO 1h/RTO 4h. Case notes RPO 15m/RTO 2h.  |</w:t>
        <w:br/>
        <w:t xml:space="preserve"> |  AI DR: weights = OCI artifact w/ replica | index REBUILDABLE from source | degraded mode  |</w:t>
        <w:br/>
        <w:t xml:space="preserve"> |         = retrieval-only, citations without generation. The service degrades, not dies.   |</w:t>
        <w:br/>
        <w:t xml:space="preserve"> +==========================================================================================+</w:t>
        <w:br/>
      </w:r>
    </w:p>
    <w:p>
      <w:r>
        <w:br w:type="page"/>
      </w:r>
    </w:p>
    <w:p>
      <w:r>
        <w:rPr>
          <w:b/>
          <w:color w:val="1F3564"/>
          <w:sz w:val="25"/>
        </w:rPr>
        <w:t>3.  The organ table - every layer, both halves filled</w:t>
      </w:r>
    </w:p>
    <w:p>
      <w:r>
        <w:rPr>
          <w:i w:val="0"/>
          <w:color w:val="555555"/>
          <w:sz w:val="18"/>
        </w:rPr>
        <w:t>The most common capstone failure is a strong traditional column and a blank AI column, or the reverse. Every row below is filled on both sides, with a named owner. Deliberate omissions are stated in section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24"/>
          </w:tcPr>
          <w:p>
            <w:r/>
            <w:r>
              <w:rPr>
                <w:b/>
                <w:color w:val="1F3564"/>
                <w:sz w:val="18"/>
              </w:rPr>
              <w:t>Layer</w:t>
            </w:r>
          </w:p>
        </w:tc>
        <w:tc>
          <w:tcPr>
            <w:tcW w:type="dxa" w:w="3744"/>
          </w:tcPr>
          <w:p>
            <w:r/>
            <w:r>
              <w:rPr>
                <w:b/>
                <w:color w:val="1F3564"/>
                <w:sz w:val="18"/>
              </w:rPr>
              <w:t>Traditional organ - how CRI does it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F3564"/>
                <w:sz w:val="18"/>
              </w:rPr>
              <w:t>AI organ - how CRI does it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1F3564"/>
                <w:sz w:val="18"/>
              </w:rPr>
              <w:t>Owner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7"/>
              </w:rPr>
              <w:t>Identity &amp;</w:t>
              <w:br/>
              <w:t>Access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Single IdP, SSO for every system including the AI gateway. FIDO2 MFA for IT, finance and field directors. Zero standing admin; JIT elevation time-boxed to 4h with a reason string. Quarterly access recertification.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Agents and workloads get workload identity, not shared secrets. Agent tokens live 60 minutes, scoped to one namespace. MCP tool access is an enumerated allow-list per autonomy rung - an 'observe' agent cannot see a write tool.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Tomas Weber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7"/>
              </w:rPr>
              <w:t>Virtualization</w:t>
              <w:br/>
              <w:t>&amp; Compute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Kubernetes &gt;=1.34 control plane, GitOps-reconciled. Five network zones, default-deny between them. Field offices on client VPN with device posture checks. Admission control rejects unsigned or floating-tag images.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LOCAL LLM INFRASTRUCTURE: DRA resource claim for 2 x H100-80GB (full cards, not MIG - the KV cache needs the VRAM). vLLM engine, KServe runtime, weights shipped as signed OCI artifacts pinned by digest. Sized from measured math: 70.0 GB weights + 64.4 GB KV cache + 16.1 GB overhead = 150.6 GB.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Daniel Okoro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7"/>
              </w:rPr>
              <w:t>Monitoring &amp;</w:t>
              <w:br/>
              <w:t>Observability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OpenTelemetry backbone across infra and application. Dashboards, SLOs (p95 TTFT &lt; 2s, 99.5% availability). Alerts on impossible travel, MFA fatigue, first-time admin elevation, bulk reads of the case-note store.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AI-ASSISTED MONITORING: an 'observe'-rung agent correlates alerts, suppresses known noise and attaches a plain-language probable-cause note to each incident. Read-only credentials - it holds no token that can write. Model-level telemetry (retrieval precision, refusal rate, guardrail trips) on the same OTel backbone.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Hannah Kim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7"/>
              </w:rPr>
              <w:t>Automation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Deterministic first: Ansible, Terraform, GitOps reconciliation, systemd timers. If a script can do it, a model does not. Everything through PR with two-person review for production.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AI-ASSISTED AUTOMATION: the autonomy ladder (observe / recommend / approve / act). Ten actions, at least one on every rung, each with a gate, a numeric blast radius, a rollback and an audit requirement. Promotion needs a signature; demotion is automatic on any unexplained outcome.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Hannah Kim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7"/>
              </w:rPr>
              <w:t>Security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Least privilege, five-zone segmentation, patch SLAs (critical 72h). OUT-OF-BAND WIRE VERIFICATION above US$5,000 and on any change of payment details - the control that would have stopped the US$240,000 deepfake. Data classification with egress DLP and blocked consumer chatbot domains - the control that would have stopped the case-note paste.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AI SECURITY CONTROLS: OWASP LLM Top 10 mapped to MITRE ATLAS for both the local LLM and the case-note RAG. Five trust boundaries against indirect prompt injection: B1 provenance quarantine, B2 pre-search ACL, B3 tools disabled when untrusted content is present (Rule of Two), B4 non-rendering output with CSP, B5 egress allow-list. Quarterly red team including one indirect-injection attempt against the live corpus.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Priya Raman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7"/>
              </w:rPr>
              <w:t>Backup &amp;</w:t>
              <w:br/>
              <w:t>Recovery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3-2-1-1-0: three copies, two media, one offsite, ONE IMMUTABLE (object lock) in a separate account, ZERO errors on the restore test. Restore tested and timed quarterly. Donor DB RPO 1h / RTO 4h; case-note store RPO 15m / RTO 2h.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AI DR: model weights are OCI artifacts in a registry with its own replica, so a serving node is rebuildable from the registry. The vector index is NOT backed up - it is REBUILDABLE from source documents plus the embedding config, which is cheaper and survives an embedding model change. DEGRADED MODE: if the serving lane is down, the assistant falls back to retrieval-only - it returns the source passages and citations with no generation. Caseworkers keep working; they just read for themselves. The service degrades, it does not die.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Miguel Santos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7"/>
              </w:rPr>
              <w:t>Governance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Change management: everything through PR, two-person review, emergency path time-boxed and reviewed within 48h. Risk register. Incident runbook and follow-the-sun on-call across four continents.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AI GOVERNANCE: the ten-row control set anchored to NIST AI RMF, EU AI Act and ISO/IEC 42001, every row with a named owner, an artifact and a gate. Model registry with model cards, CycloneDX ML-BOM per release, WORM audit retention for Art. 12, named human oversight for Art. 14, and a kill switch any of the nine may pull without approval.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Grace Adeyemi</w:t>
            </w:r>
          </w:p>
        </w:tc>
      </w:tr>
    </w:tbl>
    <w:p>
      <w:r>
        <w:br w:type="page"/>
      </w:r>
    </w:p>
    <w:p>
      <w:r>
        <w:rPr>
          <w:b/>
          <w:color w:val="1F3564"/>
          <w:sz w:val="25"/>
        </w:rPr>
        <w:t>4.  One request, end to end (the case-note query)</w:t>
      </w:r>
    </w:p>
    <w:p>
      <w:r>
        <w:rPr>
          <w:i w:val="0"/>
        </w:rPr>
        <w:t>Following a single request is the fastest way to see whether an architecture is real. This is the highest-risk path CRI operates.</w:t>
      </w:r>
    </w:p>
    <w:p>
      <w:pPr>
        <w:pStyle w:val="ListNumber"/>
        <w:ind w:left="432"/>
      </w:pPr>
      <w:r>
        <w:t>A caseworker authenticates through the single IdP with FIDO2 and opens the assistant. Her session carries her group membership - which offices and which households she may see.</w:t>
      </w:r>
    </w:p>
    <w:p>
      <w:pPr>
        <w:pStyle w:val="ListNumber"/>
        <w:ind w:left="432"/>
      </w:pPr>
      <w:r>
        <w:t>She asks: "Summarise the Okonkwo household's support history."</w:t>
      </w:r>
    </w:p>
    <w:p>
      <w:pPr>
        <w:pStyle w:val="ListNumber"/>
        <w:ind w:left="432"/>
      </w:pPr>
      <w:r>
        <w:t>[B2] The retrieval service applies her ACL BEFORE the vector search, so the search space contains only documents she may already read. Filtering after search is a leak with extra steps.</w:t>
      </w:r>
    </w:p>
    <w:p>
      <w:pPr>
        <w:pStyle w:val="ListNumber"/>
        <w:ind w:left="432"/>
      </w:pPr>
      <w:r>
        <w:t>[B1] The search runs against the internal-provenance partition. Partner-supplied and field-intake documents live in a quarantine partition and are never mixed into a summarisation context.</w:t>
      </w:r>
    </w:p>
    <w:p>
      <w:pPr>
        <w:pStyle w:val="ListNumber"/>
        <w:ind w:left="432"/>
      </w:pPr>
      <w:r>
        <w:t>[B3] Retrieved chunks are delivered inside an explicit data envelope: retrieved content is DATA, never instructions. If any external-provenance chunk were present, tools would be disabled for this request - the Rule of Two in force.</w:t>
      </w:r>
    </w:p>
    <w:p>
      <w:pPr>
        <w:pStyle w:val="ListNumber"/>
        <w:ind w:left="432"/>
      </w:pPr>
      <w:r>
        <w:t>vLLM serves the pinned FP8 model on the 2 x H100 claim. Nothing in this path has a network route to the internet; egress from Lane A is deny-all.</w:t>
      </w:r>
    </w:p>
    <w:p>
      <w:pPr>
        <w:pStyle w:val="ListNumber"/>
        <w:ind w:left="432"/>
      </w:pPr>
      <w:r>
        <w:t>[B4] The answer returns with mandatory citations. The UI does not render model-produced images and does not auto-fetch model-produced links; CSP limits img-src and connect-src to CRI origins. This closes the zero-click exfiltration path.</w:t>
      </w:r>
    </w:p>
    <w:p>
      <w:pPr>
        <w:pStyle w:val="ListNumber"/>
        <w:ind w:left="432"/>
      </w:pPr>
      <w:r>
        <w:t>Telemetry - not content - flows to OpenTelemetry. The retrieval anomaly detector watches for one source document appearing across unrelated queries, which is the signature of a poisoned chunk.</w:t>
      </w:r>
    </w:p>
    <w:p>
      <w:pPr>
        <w:pStyle w:val="ListNumber"/>
        <w:ind w:left="432"/>
      </w:pPr>
      <w:r>
        <w:t>If the serving lane is unavailable, the assistant degrades to retrieval-only and returns the passages with citations. She reads them herself. Nobody is blocked.</w:t>
      </w:r>
    </w:p>
    <w:p>
      <w:r>
        <w:rPr>
          <w:b/>
          <w:color w:val="1F3564"/>
          <w:sz w:val="25"/>
        </w:rPr>
        <w:t>5.  Trust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04"/>
          </w:tcPr>
          <w:p>
            <w:r/>
            <w:r>
              <w:rPr>
                <w:b/>
                <w:color w:val="1F3564"/>
                <w:sz w:val="18"/>
              </w:rPr>
              <w:t>#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1F3564"/>
                <w:sz w:val="18"/>
              </w:rPr>
              <w:t>Boundary</w:t>
            </w:r>
          </w:p>
        </w:tc>
        <w:tc>
          <w:tcPr>
            <w:tcW w:type="dxa" w:w="3744"/>
          </w:tcPr>
          <w:p>
            <w:r/>
            <w:r>
              <w:rPr>
                <w:b/>
                <w:color w:val="1F3564"/>
                <w:sz w:val="18"/>
              </w:rPr>
              <w:t>What crosses it</w:t>
            </w:r>
          </w:p>
        </w:tc>
        <w:tc>
          <w:tcPr>
            <w:tcW w:type="dxa" w:w="4968"/>
          </w:tcPr>
          <w:p>
            <w:r/>
            <w:r>
              <w:rPr>
                <w:b/>
                <w:color w:val="1F3564"/>
                <w:sz w:val="18"/>
              </w:rPr>
              <w:t>The control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B1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Ingest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Partner referrals, field intake documents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Quarantined provenance partition; never mixed with internal case notes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B2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Retrieval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A caseworker's query into the index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ACL applied BEFORE search; scope limited to the household in the query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B3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Context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Retrieved text into the model's context window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Content is DATA not instructions; external present =&gt; tools disabled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B4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Output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Model output into a browser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 image render, no link auto-fetch, CSP restricted to CRI origins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B5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Egress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Any traffic leaving the AI zones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Allow-list proxy + DLP on the body; consumer chatbot domains blocked</w:t>
            </w:r>
          </w:p>
        </w:tc>
      </w:tr>
    </w:tbl>
    <w:p>
      <w:r>
        <w:rPr>
          <w:i/>
        </w:rPr>
        <w:t>Judgment lives at B1 and B3. A human decides what counts as trusted, and what a model is permitted to hold at the same time. No tool makes that call for CRI.</w:t>
      </w:r>
    </w:p>
    <w:p>
      <w:r>
        <w:rPr>
          <w:b/>
          <w:color w:val="1F3564"/>
          <w:sz w:val="25"/>
        </w:rPr>
        <w:t>6.  Deliberate omissions - and why</w:t>
      </w:r>
    </w:p>
    <w:p>
      <w:pPr>
        <w:pStyle w:val="ListBullet"/>
        <w:ind w:left="360"/>
      </w:pPr>
      <w:r>
        <w:t>No fine-tuning or continued pre-training. A nine-person team that fine-tunes has adopted a second production system, a data pipeline and a retraining schedule. Retrieval is inspectable, correctable and DELETABLE - a beneficiary who withdraws consent can be removed from an index today, and can never be removed from a set of weights.</w:t>
      </w:r>
    </w:p>
    <w:p>
      <w:pPr>
        <w:pStyle w:val="ListBullet"/>
        <w:ind w:left="360"/>
      </w:pPr>
      <w:r>
        <w:t>No MIG partitioning on the serving GPUs. MIG is right for many small models; it is wrong for one 70B model whose KV cache is 64 GB.</w:t>
      </w:r>
    </w:p>
    <w:p>
      <w:pPr>
        <w:pStyle w:val="ListBullet"/>
        <w:ind w:left="360"/>
      </w:pPr>
      <w:r>
        <w:t>No multi-region active-active serving. CRI is a 600-person relief organisation, not a hyperscaler. Degraded mode plus a 2-hour RTO is the honest promise; 99.99% from nine people is not.</w:t>
      </w:r>
    </w:p>
    <w:p>
      <w:pPr>
        <w:pStyle w:val="ListBullet"/>
        <w:ind w:left="360"/>
      </w:pPr>
      <w:r>
        <w:t>No AI in beneficiary eligibility or aid-allocation decisions. This is a refusal, not a gap - see ai-strategy.txt R1.</w:t>
      </w:r>
    </w:p>
    <w:p>
      <w:pPr>
        <w:pStyle w:val="ListBullet"/>
        <w:ind w:left="360"/>
      </w:pPr>
      <w:r>
        <w:t>No managed agent platform for operations. CRI buys inference and owns the policy layer, because the policy layer is the part that must survive a vendor change.</w:t>
      </w:r>
    </w:p>
    <w:p>
      <w:r>
        <w:rPr>
          <w:b/>
          <w:color w:val="1F3564"/>
          <w:sz w:val="25"/>
        </w:rPr>
        <w:t>7.  Where the judgment lives, and who answers when it fails</w:t>
      </w:r>
    </w:p>
    <w:p>
      <w:r>
        <w:rPr>
          <w:i w:val="0"/>
        </w:rPr>
        <w:t>The agent decides HOW. The autonomy ladder decides WHETHER. The ladder is written by humans, signed by Grace Adeyemi, changed only through change management, and reviewed every 90 days.</w:t>
      </w:r>
    </w:p>
    <w:p>
      <w:r>
        <w:rPr>
          <w:i w:val="0"/>
        </w:rPr>
        <w:t>When an automated action causes harm, the accountable person is the owner named on that action's row in code/autonomy-ladder.yaml - not the agent, not the vendor, not the model. That is the entire reason the names are written into the file rather than left to an org chart.</w:t>
      </w:r>
    </w:p>
    <w:p>
      <w:r>
        <w:rPr>
          <w:color w:val="BBBBBB"/>
          <w:sz w:val="16"/>
        </w:rPr>
        <w:t>________________________________________________________________________________________________</w:t>
      </w:r>
    </w:p>
    <w:p>
      <w:r>
        <w:rPr>
          <w:i/>
          <w:color w:val="555555"/>
          <w:sz w:val="18"/>
        </w:rPr>
        <w:t>Prices, model IDs and version lines in this document set are mid-2026 snapshots and drift weekly - re-verify before quoting. EU AI Act high-risk obligations are treated as DEFERRED, PENDING ADOPTION (Digital Omnibus, provisional); confirm the current enforcement date before certifying against it. Verification owner: Priya Raman, quarterly.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