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564"/>
          <w:sz w:val="34"/>
        </w:rPr>
        <w:t>REPORT - Final Project (Capstone)</w:t>
      </w:r>
    </w:p>
    <w:p>
      <w:r>
        <w:rPr>
          <w:b/>
          <w:color w:val="1F3564"/>
          <w:sz w:val="34"/>
        </w:rPr>
        <w:t>Architect the 2030 Organization</w:t>
      </w:r>
    </w:p>
    <w:p>
      <w:r>
        <w:rPr>
          <w:i w:val="0"/>
        </w:rPr>
        <w:t>Project 14  |  Chapter 16 - The AI-Native Enterprise</w:t>
      </w:r>
    </w:p>
    <w:p>
      <w:r>
        <w:rPr>
          <w:i w:val="0"/>
        </w:rPr>
        <w:t>Course: System Administration and Maintenance</w:t>
      </w:r>
    </w:p>
    <w:p>
      <w:r>
        <w:rPr>
          <w:i w:val="0"/>
        </w:rPr>
        <w:t>Student: ______________________     Date: ______________</w:t>
      </w:r>
    </w:p>
    <w:p>
      <w:r>
        <w:rPr>
          <w:i w:val="0"/>
        </w:rPr>
        <w:t>Repository: https://github.com/srujanachalluri/SystemAdministration  (folder: 16-ai-native-capstone)</w:t>
      </w:r>
    </w:p>
    <w:p>
      <w:r>
        <w:rPr>
          <w:color w:val="BBBBBB"/>
          <w:sz w:val="16"/>
        </w:rPr>
        <w:t>________________________________________________________________________________________________</w:t>
      </w:r>
    </w:p>
    <w:p>
      <w:r>
        <w:rPr>
          <w:b/>
          <w:color w:val="1F3564"/>
          <w:sz w:val="25"/>
        </w:rPr>
        <w:t>PART 1 - EXECUTIVE SUMMARY (the one page the board reads)</w:t>
      </w:r>
    </w:p>
    <w:p>
      <w:r>
        <w:rPr>
          <w:i w:val="0"/>
        </w:rPr>
        <w:t>Cornerstone Relief International is a 600-person Christian relief organisation with a nine-person HQ IT team, offices on four continents, and a board mandate with two halves: use AI to do far more with nine people, and never again put the people we serve at the mercy of a tool we did not govern. This submission is the architecture that team will run on.</w:t>
      </w:r>
    </w:p>
    <w:p>
      <w:r>
        <w:rPr>
          <w:b/>
          <w:sz w:val="21"/>
        </w:rPr>
        <w:t>The design</w:t>
      </w:r>
    </w:p>
    <w:p>
      <w:r>
        <w:rPr>
          <w:i w:val="0"/>
        </w:rPr>
        <w:t>TWO SERVING LANES ON ONE CONTROL PLANE. A self-hosted lane, with no route to the internet, serves the case-note assistant that reads beneficiaries' names, locations and medical details. A commercial API lane serves staff productivity and operations, where no restricted data is ever permitted. Above both sits one identity plane; beneath both, one OpenTelemetry and WORM-audit backbone; across both, a written autonomy ladder that states what a machine may do without asking a human.</w:t>
      </w:r>
    </w:p>
    <w:p>
      <w:r>
        <w:rPr>
          <w:b/>
          <w:sz w:val="21"/>
        </w:rPr>
        <w:t>Three decisions the board should know it has made</w:t>
      </w:r>
    </w:p>
    <w:p>
      <w:pPr>
        <w:pStyle w:val="ListNumber"/>
        <w:ind w:left="432"/>
      </w:pPr>
      <w:r>
        <w:t>SELF-HOSTING THE CASE-NOTE MODEL COSTS US$70,320 PER YEAR MORE THAN the commercial alternative - about 0.6 of a field post. It is not a cost decision; it buys residency and verifiable deletion for data about vulnerable people. The full arithmetic is in cost-analysis.txt and the argument is in decision-memo.docx.</w:t>
      </w:r>
    </w:p>
    <w:p>
      <w:pPr>
        <w:pStyle w:val="ListNumber"/>
        <w:ind w:left="432"/>
      </w:pPr>
      <w:r>
        <w:t>AUTONOMY IS GRANTED BY NAME, NOT BY DEFAULT. Ten operational actions sit on four rungs. Restarting a stateless pod is automatic. Rotating a credential requires out-of-band verification. Deleting beneficiary data, changing payment details, touching logging or backup, or contacting a beneficiary can never be automated - there is no promotion path. Turning autonomy up needs a signature; turning it down needs nothing, and any of the nine may pull the kill switch.</w:t>
      </w:r>
    </w:p>
    <w:p>
      <w:pPr>
        <w:pStyle w:val="ListNumber"/>
        <w:ind w:left="432"/>
      </w:pPr>
      <w:r>
        <w:t>THE THREE INCIDENTS FROM LAST YEAR EACH HAVE A NAMED CONTROL. The US$240,000 deepfake: out-of-band wire verification on a channel the caller cannot own. The ransomware weekend: five-zone segmentation plus an immutable backup copy in an account no production identity can reach, restore-tested quarterly. The chatbot paste: egress DLP and blocked consumer chatbot domains - together with a sanctioned internal assistant in the same click, because blocking without providing just creates shadow IT.</w:t>
      </w:r>
    </w:p>
    <w:p>
      <w:r>
        <w:rPr>
          <w:b/>
          <w:sz w:val="21"/>
        </w:rPr>
        <w:t>The deliverable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/>
            <w:r>
              <w:rPr>
                <w:b/>
                <w:color w:val="1F3564"/>
                <w:sz w:val="18"/>
              </w:rPr>
              <w:t>File</w:t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1F3564"/>
                <w:sz w:val="18"/>
              </w:rPr>
              <w:t>What it is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architecture.docx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Document 1 - two-lane design, the organ table with both halves filled, request walkthrough, trust boundaries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ai-strategy.txt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Document 2 - what CRI uses AI for, what it runs, model tiers, refused uses, build-vs-buy-vs-self-host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automation-plan.txt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Document 3 - AIOps design and the autonomy ladder, ten actions across four rungs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security-plan.txt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Document 4 - traditional controls plus OWASP LLM Top 10 to MITRE ATLAS, and the indirect prompt-injection kill chain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cost-analysis.txt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Document 5 - VRAM and KV-cache sizing, three scenarios, the crossover, and a utilisation sensitivity table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governance.txt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Document 6 - the ten-row control set and the EU AI Act Art. 14 / Art. 12 / NIST RMF mapping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decision-memo.docx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Hard tier - the architect's judgment to the board, with the conditions that would reverse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agent-log.txt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Required - every task delegated to the agent, what it produced, where it was wrong, and where the architect intervened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code/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The four adapted reference configs</w:t>
            </w:r>
          </w:p>
        </w:tc>
      </w:tr>
    </w:tbl>
    <w:p>
      <w:r>
        <w:rPr>
          <w:b/>
          <w:sz w:val="21"/>
        </w:rPr>
        <w:t>Where the judgment lives</w:t>
      </w:r>
    </w:p>
    <w:p>
      <w:r>
        <w:rPr>
          <w:i w:val="0"/>
        </w:rPr>
        <w:t>The agent decides how. The autonomy ladder decides whether. When an automated action causes harm, the accountable person is the human named on that action's row - which is why the names are written into the YAML rather than left to an org chart.</w:t>
      </w:r>
    </w:p>
    <w:p>
      <w:r>
        <w:br w:type="page"/>
      </w:r>
    </w:p>
    <w:p>
      <w:r>
        <w:rPr>
          <w:b/>
          <w:color w:val="1F3564"/>
          <w:sz w:val="25"/>
        </w:rPr>
        <w:t>PART 2 - VERIFICATION LOG (commands run in GitHub Codespaces)</w:t>
      </w:r>
    </w:p>
    <w:p>
      <w:r>
        <w:rPr>
          <w:i w:val="0"/>
          <w:color w:val="555555"/>
          <w:sz w:val="18"/>
        </w:rPr>
        <w:t>Every command below was run in the GitHub Codespace for the repository. Run each one, then paste the terminal output (or a screenshot) into the red placeholder underneath it.</w:t>
      </w:r>
    </w:p>
    <w:p>
      <w:r>
        <w:rPr>
          <w:i/>
          <w:color w:val="555555"/>
          <w:sz w:val="18"/>
        </w:rPr>
        <w:t>HOW TO FILL THIS IN: run the command, select the output in the Codespaces terminal, copy it, then click the red [ ... ] block below and paste over it. Set the pasted text to Consolas 9pt so it stays readable.</w:t>
      </w:r>
    </w:p>
    <w:p>
      <w:r>
        <w:rPr>
          <w:b/>
          <w:sz w:val="21"/>
        </w:rPr>
        <w:t>Step 1. Confirm the environment and the repository</w:t>
      </w:r>
    </w:p>
    <w:p>
      <w:r>
        <w:rPr>
          <w:i/>
          <w:color w:val="555555"/>
          <w:sz w:val="18"/>
        </w:rPr>
        <w:t>Why this step: Establishes that the work was done in the GitHub Codespace and shows which repository it was committed to.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</w:t>
        <w:br/>
        <w:t>pwd</w:t>
        <w:br/>
        <w:t>git --version</w:t>
        <w:br/>
        <w:t>python3 --version</w:t>
        <w:br/>
        <w:t>git remote -v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2. Show the project structure</w:t>
      </w:r>
    </w:p>
    <w:p>
      <w:r>
        <w:rPr>
          <w:i/>
          <w:color w:val="555555"/>
          <w:sz w:val="18"/>
        </w:rPr>
        <w:t>Why this step: Shows the full deliverable set: the six documents, the reference configs, REPORT.docx and agent-log.txt.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ls -R</w:t>
        <w:br/>
        <w:t>find . -type f | sort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3. Validate the two YAML configs actually parse</w:t>
      </w:r>
    </w:p>
    <w:p>
      <w:r>
        <w:rPr>
          <w:i/>
          <w:color w:val="555555"/>
          <w:sz w:val="18"/>
        </w:rPr>
        <w:t>Why this step: A config that does not parse is not a config. This proves both adapted files are valid YAML and reports what is in them.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pip install --quiet pyyaml python-docx</w:t>
        <w:br/>
        <w:t>python3 -c "import yaml,sys; d=yaml.safe_load(open('code/autonomy-ladder.yaml')); print('autonomy-ladder.yaml OK -', len(d['actions']), 'actions,', len(d['never_automate']['actions']), 'never-automate entries')"</w:t>
        <w:br/>
        <w:t>python3 -c "import yaml; d=yaml.safe_load(open('code/inference-platform.yaml')); print('inference-platform.yaml OK - lanes:', [k for k in d['platform'] if k.startswith('lane')])"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4. Prove every autonomy rung is populated and every action has an owner</w:t>
      </w:r>
    </w:p>
    <w:p>
      <w:r>
        <w:rPr>
          <w:i/>
          <w:color w:val="555555"/>
          <w:sz w:val="18"/>
        </w:rPr>
        <w:t>Why this step: The rubric requires at least one action on each of observe / recommend / approve / act, and a named human on every governed row. This checks it mechanically instead of asserting it.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python3 - &lt;&lt;'PY'</w:t>
        <w:br/>
        <w:t>import yaml</w:t>
        <w:br/>
        <w:t>d = yaml.safe_load(open('code/autonomy-ladder.yaml'))</w:t>
        <w:br/>
        <w:t>tiers = {}</w:t>
        <w:br/>
        <w:t>for a in d['actions']:</w:t>
        <w:br/>
        <w:t xml:space="preserve">    tiers.setdefault(a['tier'], []).append(a['name'])</w:t>
        <w:br/>
        <w:t>for t in ['observe','recommend','approve','act']:</w:t>
        <w:br/>
        <w:t xml:space="preserve">    print(f"{t:10s} {len(tiers.get(t,[]))} action(s): {', '.join(tiers.get(t,[]))}")</w:t>
        <w:br/>
        <w:t>missing = [a['name'] for a in d['actions'] if not a.get('owner')]</w:t>
        <w:br/>
        <w:t>print('actions with no named owner:', missing or 'NONE')</w:t>
        <w:br/>
        <w:t>PY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5. Run the cost and sizing model</w:t>
      </w:r>
    </w:p>
    <w:p>
      <w:r>
        <w:rPr>
          <w:i/>
          <w:color w:val="555555"/>
          <w:sz w:val="18"/>
        </w:rPr>
        <w:t>Why this step: Produces the VRAM sizing with the KV-cache term, the three growth scenarios, the self-host-vs-API crossover, and the utilisation sensitivity table. These are the numbers quoted in cost-analysis.txt and decision-memo.docx.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python3 code/estate_cost.py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6. Save the model output into the repository as evidence</w:t>
      </w:r>
    </w:p>
    <w:p>
      <w:r>
        <w:rPr>
          <w:i/>
          <w:color w:val="555555"/>
          <w:sz w:val="18"/>
        </w:rPr>
        <w:t>Why this step: The grader can see the exact figures the documents rely on without having to run anything.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python3 code/estate_cost.py &gt; cost-model-output.txt</w:t>
        <w:br/>
        <w:t>head -20 cost-model-output.txt</w:t>
        <w:br/>
        <w:t>wc -l cost-model-output.txt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7. Check that every named owner actually appears in the document set</w:t>
      </w:r>
    </w:p>
    <w:p>
      <w:r>
        <w:rPr>
          <w:i/>
          <w:color w:val="555555"/>
          <w:sz w:val="18"/>
        </w:rPr>
        <w:t>Why this step: "A control without a controller is decoration." This shows all nine people own something, and where.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for n in Adeyemi Okoro Raman Santos Kim Weber Bello Mensah Novak; do</w:t>
        <w:br/>
        <w:t xml:space="preserve">  printf '%-10s %s\n' "$n" "$(grep -ril "$n" . | tr '\n' ' ')"</w:t>
        <w:br/>
        <w:t>done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8. Generate the three Word documents</w:t>
      </w:r>
    </w:p>
    <w:p>
      <w:r>
        <w:rPr>
          <w:i/>
          <w:color w:val="555555"/>
          <w:sz w:val="18"/>
        </w:rPr>
        <w:t>Why this step: architecture.docx, decision-memo.docx and REPORT.docx are generated from the same source of truth as the configs, so the document set can be rebuilt from a clean checkout and cannot silently drift.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/workspaces/SystemAdministration/16-ai-native-capstone</w:t>
        <w:br/>
        <w:t>pip install --quiet python-docx</w:t>
        <w:br/>
        <w:t>python3 make_docs.py</w:t>
        <w:br/>
        <w:t>ls -lh *.docx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9. Commit the work</w:t>
      </w:r>
    </w:p>
    <w:p>
      <w:r>
        <w:rPr>
          <w:i/>
          <w:color w:val="555555"/>
          <w:sz w:val="18"/>
        </w:rPr>
        <w:t>Why this step: Shows the deliverables entering version control as one reviewable change.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</w:t>
        <w:br/>
        <w:t>git add 16-ai-native-capstone</w:t>
        <w:br/>
        <w:t>git status</w:t>
        <w:br/>
        <w:t>git commit -m "Final project: AI-native architecture for CRI (Project 14)"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rPr>
          <w:b/>
          <w:sz w:val="21"/>
        </w:rPr>
        <w:t>Step 10. Push and confirm</w:t>
      </w:r>
    </w:p>
    <w:p>
      <w:r>
        <w:rPr>
          <w:i/>
          <w:color w:val="555555"/>
          <w:sz w:val="18"/>
        </w:rPr>
        <w:t>Why this step: Confirms the public repository the professor will open actually contains the submission.</w:t>
      </w:r>
    </w:p>
    <w:p>
      <w:r>
        <w:rPr>
          <w:i w:val="0"/>
          <w:sz w:val="18"/>
        </w:rPr>
        <w:t>Command:</w:t>
      </w:r>
    </w:p>
    <w:p>
      <w:pPr>
        <w:spacing w:after="120" w:line="240" w:lineRule="auto"/>
      </w:pPr>
      <w:r>
        <w:rPr>
          <w:rFonts w:ascii="Consolas" w:hAnsi="Consolas"/>
          <w:sz w:val="17"/>
        </w:rPr>
        <w:t>cd /workspaces/SystemAdministration</w:t>
        <w:br/>
        <w:t>git push origin main</w:t>
        <w:br/>
        <w:t>git log --oneline -5</w:t>
      </w:r>
    </w:p>
    <w:p>
      <w:r>
        <w:rPr>
          <w:i w:val="0"/>
          <w:sz w:val="18"/>
        </w:rPr>
        <w:t>Output:</w:t>
      </w:r>
    </w:p>
    <w:p>
      <w:pPr>
        <w:spacing w:after="200"/>
      </w:pPr>
      <w:r>
        <w:rPr>
          <w:rFonts w:ascii="Consolas" w:hAnsi="Consolas"/>
          <w:b/>
          <w:color w:val="A00000"/>
          <w:sz w:val="18"/>
        </w:rPr>
        <w:t>[ PASTE COMMAND OUTPUT HERE ]</w:t>
      </w:r>
    </w:p>
    <w:p>
      <w:r>
        <w:br w:type="page"/>
      </w:r>
    </w:p>
    <w:p>
      <w:r>
        <w:rPr>
          <w:b/>
          <w:color w:val="1F3564"/>
          <w:sz w:val="25"/>
        </w:rPr>
        <w:t>PART 3 - CHECKS BEFORE SUBMITTING</w:t>
      </w:r>
    </w:p>
    <w:p>
      <w:pPr>
        <w:pStyle w:val="ListBullet"/>
        <w:ind w:left="360"/>
      </w:pPr>
      <w:r>
        <w:t>All six documents present, plus REPORT.docx, agent-log.txt and decision-memo.docx.</w:t>
      </w:r>
    </w:p>
    <w:p>
      <w:pPr>
        <w:pStyle w:val="ListBullet"/>
        <w:ind w:left="360"/>
      </w:pPr>
      <w:r>
        <w:t>The repository is PUBLIC and the link opens in a private browser window.</w:t>
      </w:r>
    </w:p>
    <w:p>
      <w:pPr>
        <w:pStyle w:val="ListBullet"/>
        <w:ind w:left="360"/>
      </w:pPr>
      <w:r>
        <w:t>The organ table in architecture.docx has NO BLANK CELLS on either half.</w:t>
      </w:r>
    </w:p>
    <w:p>
      <w:pPr>
        <w:pStyle w:val="ListBullet"/>
        <w:ind w:left="360"/>
      </w:pPr>
      <w:r>
        <w:t>Every governance row and every gated action names a human.</w:t>
      </w:r>
    </w:p>
    <w:p>
      <w:pPr>
        <w:pStyle w:val="ListBullet"/>
        <w:ind w:left="360"/>
      </w:pPr>
      <w:r>
        <w:t>estate_cost.py runs cleanly and its output is saved as cost-model-output.txt.</w:t>
      </w:r>
    </w:p>
    <w:p>
      <w:pPr>
        <w:pStyle w:val="ListBullet"/>
        <w:ind w:left="360"/>
      </w:pPr>
      <w:r>
        <w:t>The EU AI Act citation block in governance.txt section 4 has been completed with the source consulted, the date checked, and the adoption status found. THIS IS THE ONE ITEM THAT CANNOT BE LEFT AS A PLACEHOLDER.</w:t>
      </w:r>
    </w:p>
    <w:p>
      <w:pPr>
        <w:pStyle w:val="ListBullet"/>
        <w:ind w:left="360"/>
      </w:pPr>
      <w:r>
        <w:t>agent-log.txt reflects the real session, including where the agent was corrected.</w:t>
      </w:r>
    </w:p>
    <w:p>
      <w:pPr>
        <w:pStyle w:val="ListBullet"/>
        <w:ind w:left="360"/>
      </w:pPr>
      <w:r>
        <w:t>The 60-minute live session is scheduled, and two decisions are ready to defend out loud: self-host versus API, and how high the autonomy ladder climbs.</w:t>
      </w:r>
    </w:p>
    <w:p>
      <w:r>
        <w:rPr>
          <w:color w:val="BBBBBB"/>
          <w:sz w:val="16"/>
        </w:rPr>
        <w:t>________________________________________________________________________________________________</w:t>
      </w:r>
    </w:p>
    <w:p>
      <w:r>
        <w:rPr>
          <w:i/>
          <w:color w:val="555555"/>
          <w:sz w:val="18"/>
        </w:rPr>
        <w:t>Prices, model IDs and version lines in this document set are mid-2026 snapshots and drift weekly - re-verify before quoting. EU AI Act high-risk obligations are treated as DEFERRED, PENDING ADOPTION (Digital Omnibus, provisional); confirm the current enforcement date before certifying against it. Verification owner: Priya Raman, quarterly.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