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564"/>
          <w:sz w:val="34"/>
        </w:rPr>
        <w:t>Decision Memo to the Board</w:t>
      </w:r>
    </w:p>
    <w:p>
      <w:r>
        <w:rPr>
          <w:i w:val="0"/>
        </w:rPr>
        <w:t>From: the Architect   |   To: the Board of Cornerstone Relief International</w:t>
      </w:r>
    </w:p>
    <w:p>
      <w:r>
        <w:rPr>
          <w:i w:val="0"/>
        </w:rPr>
        <w:t>Subject: Where the case notes live - and what that decision costs</w:t>
      </w:r>
    </w:p>
    <w:p>
      <w:r>
        <w:rPr>
          <w:i w:val="0"/>
          <w:color w:val="555555"/>
          <w:sz w:val="18"/>
        </w:rPr>
        <w:t>Classification: Board confidential   |   Version 1.0   |   Decision required</w:t>
      </w:r>
    </w:p>
    <w:p>
      <w:r>
        <w:rPr>
          <w:color w:val="BBBBBB"/>
          <w:sz w:val="16"/>
        </w:rPr>
        <w:t>________________________________________________________________________________________________</w:t>
      </w:r>
    </w:p>
    <w:p>
      <w:r>
        <w:rPr>
          <w:b/>
          <w:color w:val="1F3564"/>
          <w:sz w:val="25"/>
        </w:rPr>
        <w:t>The decision, stated plainly</w:t>
      </w:r>
    </w:p>
    <w:p>
      <w:r>
        <w:rPr>
          <w:i w:val="0"/>
        </w:rPr>
        <w:t>CRI will SELF-HOST the model that reads beneficiary case notes, on hardware CRI controls, inside a network that has no route to the internet. Every other AI workload - the staff assistant and the operations agent - will run on a commercial API.</w:t>
      </w:r>
    </w:p>
    <w:p>
      <w:r>
        <w:rPr>
          <w:i w:val="0"/>
        </w:rPr>
        <w:t>This costs approximately US$5,860 per month more than sending the same work to a commercial API. That is US$70,320 per year, or roughly 0.6 of a field staff post. I am recommending the more expensive option and I want the board to see that number rather than be spared it.</w:t>
      </w:r>
    </w:p>
    <w:p>
      <w:r>
        <w:rPr>
          <w:b/>
          <w:color w:val="1F3564"/>
          <w:sz w:val="25"/>
        </w:rPr>
        <w:t>The measurement</w:t>
      </w:r>
    </w:p>
    <w:p>
      <w:r>
        <w:rPr>
          <w:i w:val="0"/>
          <w:color w:val="555555"/>
          <w:sz w:val="18"/>
        </w:rPr>
        <w:t>From code/estate_cost.py, run against CRI's actual projected volumes (mid-2026 price snapshot):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</w:tcPr>
          <w:p>
            <w:r/>
            <w:r>
              <w:rPr>
                <w:b/>
                <w:color w:val="1F3564"/>
                <w:sz w:val="18"/>
              </w:rPr>
            </w:r>
          </w:p>
        </w:tc>
        <w:tc>
          <w:tcPr>
            <w:tcW w:type="dxa" w:w="3744"/>
          </w:tcPr>
          <w:p>
            <w:r/>
            <w:r>
              <w:rPr>
                <w:b/>
                <w:color w:val="1F3564"/>
                <w:sz w:val="18"/>
              </w:rPr>
              <w:t>Self-host (2 x H100 node)</w:t>
            </w:r>
          </w:p>
        </w:tc>
        <w:tc>
          <w:tcPr>
            <w:tcW w:type="dxa" w:w="3744"/>
          </w:tcPr>
          <w:p>
            <w:r/>
            <w:r>
              <w:rPr>
                <w:b/>
                <w:color w:val="1F3564"/>
                <w:sz w:val="18"/>
              </w:rPr>
              <w:t>Mid-tier commercial API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Case-note workload today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132M tokens/month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132M tokens/month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Monthly cost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US$6,400 (fixed)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US$540 (variable)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Effective price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US$48.48 / 1M tokens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US$4.08 / 1M tokens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Node utilisation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15% of capacity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Crossover volume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1,569M tokens/month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CRI's position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8% of the crossover volume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cheaper today by 11.9x</w:t>
            </w:r>
          </w:p>
        </w:tc>
      </w:tr>
    </w:tbl>
    <w:p>
      <w:r>
        <w:rPr>
          <w:i w:val="0"/>
        </w:rPr>
        <w:t>I want to be exact about how weak the cost case is. The sensitivity table in cost-analysis.txt runs the self-hosted node from 10% to 100% utilisation. Even at 100% - a workload CRI will not reach this decade - the node costs US$7.11 per million tokens against the API's US$4.08. There is no utilisation number at which this decision pays for itself on cost. I could have chosen a cheaper node price or a higher API price and produced a table that agreed with me. A cost model that only ever agrees with the architect is not a cost model.</w:t>
      </w:r>
    </w:p>
    <w:p>
      <w:r>
        <w:rPr>
          <w:b/>
          <w:color w:val="1F3564"/>
          <w:sz w:val="25"/>
        </w:rPr>
        <w:t>The tradeoff, honestly</w:t>
      </w:r>
    </w:p>
    <w:p>
      <w:r>
        <w:rPr>
          <w:b/>
          <w:sz w:val="21"/>
        </w:rPr>
        <w:t>What the premium buys</w:t>
      </w:r>
    </w:p>
    <w:p>
      <w:pPr>
        <w:pStyle w:val="ListBullet"/>
        <w:ind w:left="360"/>
      </w:pPr>
      <w:r>
        <w:t>DATA RESIDENCY. Three years of case notes - names, locations, medical details of vulnerable people - never leave a boundary CRI controls. A vendor's zero-retention clause is a promise. A network with no route to that vendor is a control. After last year, CRI is not in a position to accept a promise.</w:t>
      </w:r>
    </w:p>
    <w:p>
      <w:pPr>
        <w:pStyle w:val="ListBullet"/>
        <w:ind w:left="360"/>
      </w:pPr>
      <w:r>
        <w:t>DELETABILITY. A beneficiary who withdraws consent can be removed from an index CRI operates, today, verifiably. CRI cannot verify deletion inside a third party's abuse-monitoring pipeline, whatever the contract says. For some of the people in this corpus, that difference is not administrative.</w:t>
      </w:r>
    </w:p>
    <w:p>
      <w:pPr>
        <w:pStyle w:val="ListBullet"/>
        <w:ind w:left="360"/>
      </w:pPr>
      <w:r>
        <w:t>A FIXED BILL ON THE HIGHEST-RISK WORKLOAD. Scenario S1 in the cost analysis doubles CRI's field offices and the AI bill rises 3.8%. For a donor-funded organisation, budget predictability has real value that never appears in a per-token comparison.</w:t>
      </w:r>
    </w:p>
    <w:p>
      <w:r>
        <w:rPr>
          <w:b/>
          <w:sz w:val="21"/>
        </w:rPr>
        <w:t>What the premium costs</w:t>
      </w:r>
    </w:p>
    <w:p>
      <w:pPr>
        <w:pStyle w:val="ListBullet"/>
        <w:ind w:left="360"/>
      </w:pPr>
      <w:r>
        <w:t>US$70,320 per year - approximately 0.6 FTE of field staff. Real programme money, not an accounting entry.</w:t>
      </w:r>
    </w:p>
    <w:p>
      <w:pPr>
        <w:pStyle w:val="ListBullet"/>
        <w:ind w:left="360"/>
      </w:pPr>
      <w:r>
        <w:t>CAPACITY. Nine people now operate a GPU node: drivers, CUDA, the serving stack, patching, capacity planning. The US$6,400 includes an allowance for Daniel Okoro's time; it does not price what he is NOT doing instead. This is the risk I am least comfortable with, and it is a capacity risk, not a technical one.</w:t>
      </w:r>
    </w:p>
    <w:p>
      <w:pPr>
        <w:pStyle w:val="ListBullet"/>
        <w:ind w:left="360"/>
      </w:pPr>
      <w:r>
        <w:t>KEY-PERSON CONCENTRATION. If Daniel leaves, CRI has one person who has operated this stack. Mitigation: a documented runbook, a second trained operator within two quarters, and a tested fallback to degraded retrieval-only mode. That mitigation is a commitment, not an intention.</w:t>
      </w:r>
    </w:p>
    <w:p>
      <w:r>
        <w:rPr>
          <w:b/>
          <w:color w:val="1F3564"/>
          <w:sz w:val="25"/>
        </w:rPr>
        <w:t>The recommendation</w:t>
      </w:r>
    </w:p>
    <w:p>
      <w:r>
        <w:rPr>
          <w:i w:val="0"/>
        </w:rPr>
        <w:t>Approve self-hosting for the case-note lane. Approve the API lane for everything else. Do not let "we already own the node" pull the other workloads onto it - they are bursty, they hold no restricted data, and they would consume the headroom that keeps the case-note lane responsive. The duty applies to the case notes, not to everything.</w:t>
      </w:r>
    </w:p>
    <w:p>
      <w:r>
        <w:rPr>
          <w:i w:val="0"/>
        </w:rPr>
        <w:t>I am committing to this decision. It is not a hedge and it is not a pilot.</w:t>
      </w:r>
    </w:p>
    <w:p>
      <w:r>
        <w:rPr>
          <w:b/>
          <w:color w:val="1F3564"/>
          <w:sz w:val="25"/>
        </w:rPr>
        <w:t>What would make me reverse it</w:t>
      </w:r>
    </w:p>
    <w:p>
      <w:r>
        <w:rPr>
          <w:i w:val="0"/>
        </w:rPr>
        <w:t>Naming this in advance is the only thing that makes the commitment honest rather than stubborn. I will bring the decision back to this board if any of the following becomes true:</w:t>
      </w:r>
    </w:p>
    <w:p>
      <w:pPr>
        <w:pStyle w:val="ListNumber"/>
        <w:ind w:left="432"/>
      </w:pPr>
      <w:r>
        <w:t>A RESIDENCY-GUARANTEED COMMERCIAL ENDPOINT emerges with contractual non-retention, in-region processing, and a VERIFIABLE deletion attestation that CRI's auditor accepts. Verification is the operative word - a clause is not an attestation. This is the most likely of the four and I expect to be tested on it within two years.</w:t>
      </w:r>
    </w:p>
    <w:p>
      <w:pPr>
        <w:pStyle w:val="ListNumber"/>
        <w:ind w:left="432"/>
      </w:pPr>
      <w:r>
        <w:t>NODE UTILISATION STAYS BELOW 10% FOR TWO CONSECUTIVE QUARTERS. At that point CRI is paying for idle silicon; the duty still holds but the implementation is wrong, and I should be shopping for a smaller node or a nonprofit-priced sovereign endpoint.</w:t>
      </w:r>
    </w:p>
    <w:p>
      <w:pPr>
        <w:pStyle w:val="ListNumber"/>
        <w:ind w:left="432"/>
      </w:pPr>
      <w:r>
        <w:t>THE NINE-PERSON TEAM CANNOT CARRY THE OPERATIONAL LOAD - measured, not felt: if platform on-call hours rise more than 20% year on year, or if GPU-stack incidents exceed four per quarter, the capacity risk has materialised and I was wrong about it.</w:t>
      </w:r>
    </w:p>
    <w:p>
      <w:pPr>
        <w:pStyle w:val="ListNumber"/>
        <w:ind w:left="432"/>
      </w:pPr>
      <w:r>
        <w:t>CRI'S PROGRAMME MODEL CHANGES so that case notes no longer contain special-category data about identifiable individuals. Then the duty that justifies the premium has gone, and so should the premium.</w:t>
      </w:r>
    </w:p>
    <w:p>
      <w:r>
        <w:rPr>
          <w:i w:val="0"/>
        </w:rPr>
        <w:t>Note what is NOT on this list: the API getting cheaper. It already is cheaper. Price was never the argument, so a price cut is not a reason to reverse.</w:t>
      </w:r>
    </w:p>
    <w:p>
      <w:r>
        <w:rPr>
          <w:b/>
          <w:color w:val="1F3564"/>
          <w:sz w:val="25"/>
        </w:rPr>
        <w:t>Why this decision was not delegated to an agent</w:t>
      </w:r>
    </w:p>
    <w:p>
      <w:r>
        <w:rPr>
          <w:i w:val="0"/>
        </w:rPr>
        <w:t>An agent drafted parts of this document set, generated YAML, and produced the sizing arithmetic - all of that is logged in agent-log.txt. It did the work an agent is good at.</w:t>
      </w:r>
    </w:p>
    <w:p>
      <w:r>
        <w:rPr>
          <w:i w:val="0"/>
        </w:rPr>
        <w:t>It could not make this call. Weighing a vulnerable beneficiary's medical record against 0.6 of a field post against nine people's capacity is not a calculation with a defensible optimum. It is a judgment about what CRI is willing to be responsible for, made by someone who will still be accountable in five years when a board member asks why the bill looks like that. The agent proposed "use the API, it is 11.9x cheaper" and it was not wrong about the arithmetic. It was answering a different question.</w:t>
      </w:r>
    </w:p>
    <w:p>
      <w:r>
        <w:rPr>
          <w:i/>
        </w:rPr>
        <w:t>The judgment lives here, with a named human, and the answer to "who answers when it fails" is: I do.</w:t>
      </w:r>
    </w:p>
    <w:p>
      <w:r>
        <w:rPr>
          <w:color w:val="BBBBBB"/>
          <w:sz w:val="16"/>
        </w:rPr>
        <w:t>________________________________________________________________________________________________</w:t>
      </w:r>
    </w:p>
    <w:p>
      <w:r>
        <w:rPr>
          <w:i/>
          <w:color w:val="555555"/>
          <w:sz w:val="18"/>
        </w:rPr>
        <w:t>Prices, model IDs and version lines in this document set are mid-2026 snapshots and drift weekly - re-verify before quoting. EU AI Act high-risk obligations are treated as DEFERRED, PENDING ADOPTION (Digital Omnibus, provisional); confirm the current enforcement date before certifying against it. Verification owner: Priya Raman, quarterly.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