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Example program: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0-DEC X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1-DEC Y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2-DEC Z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3-DEC 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4-LDI 10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5-ST X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6-LDI 5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7-ST Y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8-LDI -1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9-ST Z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10-LDI 0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11-ST 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12-JZS 42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13-LDA 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14-LDB X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>15-ADD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16-ST 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17-LDA Z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18-LDB Y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>19-ADD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20-ST Y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21-JMP 24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>22-HLT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This program performs multiplication of 10 with 5, to change these variables change in line numbers, 4 and </w:t>
      </w: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respectively. I have entered line numbers to show how jump instructions work.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19"/>
          <w:szCs w:val="19"/>
          <w:highlight w:val="none"/>
          <w:rFonts w:ascii="Helvetica Neue" w:eastAsia="&quot;Helvetica Neue&quot;" w:hAnsi="&quot;Helvetica Neue&quot;" w:hint="default"/>
        </w:rPr>
        <w:t xml:space="preserve">I have included another program in the input file in the submitted project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For memory initializaton i have used opcode for each instruction. The opcodes for instructions are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DEC - 0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LDA -1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LDB -2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LDI -3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ST -4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XCH - 5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JMP - 6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JZS - 7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JVS - 8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ADD - 9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HLT -10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So while reading from the editor, i first parsed the complete text. While parsing this if i encounter any </w:t>
      </w: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instuction i store its opcode, if i encounter a value i store it or if i encounter a symbol i store its </w:t>
      </w: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respective memory address.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The moery for my program would be: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>0,-1,0,-1,0,-1,0,-1,3,10,4,1,3,20,4,3,3,-1,4,5,3,0,4,7,7,42,1,7,2,1,9,4,7,1,5,2,3,9,6,24,10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Now i read the memory and then depending on what opcode i encounter i call that class in the </w:t>
      </w: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command pattern.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Important things to consider: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>-&gt;</w:t>
      </w:r>
      <w:r>
        <w:rPr>
          <w:b w:val="1"/>
          <w:color w:val="auto"/>
          <w:position w:val="0"/>
          <w:sz w:val="20"/>
          <w:szCs w:val="20"/>
          <w:u w:val="single"/>
          <w:rFonts w:ascii="Segoe UI" w:eastAsia="Segoe UI" w:hAnsi="Segoe UI" w:hint="default"/>
        </w:rPr>
        <w:t xml:space="preserve">Jump instructons are followed by the memory location but not the line number in the code.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The above is the basic implementation, depending on the various test cases i modeled the code to </w:t>
      </w: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work correctly.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Environment used to run the code: Windows 10.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Helvetica Neue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263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