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Consumer Shopping Behaviour Survey: Analysis Review and Business Report</w:t>
      </w:r>
    </w:p>
    <w:p>
      <w:pPr/>
      <w:r>
        <w:t xml:space="preserve">Prepared 30 October 2026 from </w:t>
      </w:r>
      <w:r>
        <w:rPr>
          <w:rStyle w:val="CodeChar"/>
        </w:rPr>
        <w:t xml:space="preserve">consumer_shopping_behavior_survey.csv</w:t>
      </w:r>
      <w:r>
        <w:t xml:space="preserve">: 500 responses, 30 columns, collected 20 Jun to 24 Aug 2026.</w:t>
      </w:r>
    </w:p>
    <w:p>
      <w:pPr>
        <w:pStyle w:val="Heading2"/>
      </w:pPr>
      <w:r>
        <w:t xml:space="preserve">1. Business insights at a glance</w:t>
      </w:r>
    </w:p>
    <w:p>
      <w:pPr/>
      <w:r>
        <w:t xml:space="preserve">Shoppers in this dataset mix online and in-store, compare prices almost universally, and are pulled into impulse buying by social ads, which then leads to regret. Payment and device habits are uniform across income groups. Read these as patterns in a generated dataset, not as market facts (section 2).</w:t>
      </w:r>
    </w:p>
    <w:tbl>
      <w:tblPr>
        <w:tblStyle w:val="TableGrid"/>
        <w:tblW w:w="0" w:type="auto"/>
        <w:tblLayout w:type="fixed"/>
        <w:tblLook w:val="04A0" w:firstRow="1" w:lastRow="0" w:firstColumn="0" w:lastColumn="0" w:noHBand="0" w:noVBand="1"/>
      </w:tblPr>
      <w:tblGrid>
        <w:gridCol w:w="720"/>
        <w:gridCol w:w="1680"/>
        <w:gridCol w:w="4533"/>
        <w:gridCol w:w="2427"/>
      </w:tblGrid>
      <w:tr>
        <w:trPr>
          <w:tblHeader/>
        </w:trPr>
        <w:tc>
          <w:tcPr>
            <w:tcW w:w="720" w:type="dxa"/>
            <w:shd w:val="clear" w:color="auto" w:fill="F2F2F2"/>
          </w:tcPr>
          <w:p>
            <w:pPr/>
            <w:r>
              <w:t xml:space="preserve">#</w:t>
            </w:r>
          </w:p>
        </w:tc>
        <w:tc>
          <w:tcPr>
            <w:tcW w:w="1680" w:type="dxa"/>
            <w:shd w:val="clear" w:color="auto" w:fill="F2F2F2"/>
          </w:tcPr>
          <w:p>
            <w:pPr/>
            <w:r>
              <w:t xml:space="preserve">Insight</w:t>
            </w:r>
          </w:p>
        </w:tc>
        <w:tc>
          <w:tcPr>
            <w:tcW w:w="4533" w:type="dxa"/>
            <w:shd w:val="clear" w:color="auto" w:fill="F2F2F2"/>
          </w:tcPr>
          <w:p>
            <w:pPr/>
            <w:r>
              <w:t xml:space="preserve">Evidence</w:t>
            </w:r>
          </w:p>
        </w:tc>
        <w:tc>
          <w:tcPr>
            <w:tcW w:w="2427" w:type="dxa"/>
            <w:shd w:val="clear" w:color="auto" w:fill="F2F2F2"/>
          </w:tcPr>
          <w:p>
            <w:pPr/>
            <w:r>
              <w:t xml:space="preserve">What to do</w:t>
            </w:r>
          </w:p>
        </w:tc>
      </w:tr>
      <w:tr>
        <w:tc>
          <w:tcPr>
            <w:tcW w:w="720" w:type="dxa"/>
          </w:tcPr>
          <w:p>
            <w:pPr/>
            <w:r>
              <w:t xml:space="preserve">1</w:t>
            </w:r>
          </w:p>
        </w:tc>
        <w:tc>
          <w:tcPr>
            <w:tcW w:w="1680" w:type="dxa"/>
          </w:tcPr>
          <w:p>
            <w:pPr/>
            <w:r>
              <w:t xml:space="preserve">Mixed shopping is the norm</w:t>
            </w:r>
          </w:p>
        </w:tc>
        <w:tc>
          <w:tcPr>
            <w:tcW w:w="4533" w:type="dxa"/>
          </w:tcPr>
          <w:p>
            <w:pPr/>
            <w:r>
              <w:t xml:space="preserve">51% shop with an equal online and in-store mix, 34% online only, 15% in-store only (484 answered). 49% say online is best, 26% offline, 25% both</w:t>
            </w:r>
          </w:p>
        </w:tc>
        <w:tc>
          <w:tcPr>
            <w:tcW w:w="2427" w:type="dxa"/>
          </w:tcPr>
          <w:p>
            <w:pPr/>
            <w:r>
              <w:t xml:space="preserve">Keep price, stock and returns consistent across channels</w:t>
            </w:r>
          </w:p>
        </w:tc>
      </w:tr>
      <w:tr>
        <w:tc>
          <w:tcPr>
            <w:tcW w:w="720" w:type="dxa"/>
          </w:tcPr>
          <w:p>
            <w:pPr/>
            <w:r>
              <w:t xml:space="preserve">2</w:t>
            </w:r>
          </w:p>
        </w:tc>
        <w:tc>
          <w:tcPr>
            <w:tcW w:w="1680" w:type="dxa"/>
          </w:tcPr>
          <w:p>
            <w:pPr/>
            <w:r>
              <w:t xml:space="preserve">Online wins on range and ease, not price</w:t>
            </w:r>
          </w:p>
        </w:tc>
        <w:tc>
          <w:tcPr>
            <w:tcW w:w="4533" w:type="dxa"/>
          </w:tcPr>
          <w:p>
            <w:pPr/>
            <w:r>
              <w:t xml:space="preserve">Reasons to prefer online: more variety 38%, convenience 35%, better prices 18%</w:t>
            </w:r>
          </w:p>
        </w:tc>
        <w:tc>
          <w:tcPr>
            <w:tcW w:w="2427" w:type="dxa"/>
          </w:tcPr>
          <w:p>
            <w:pPr/>
            <w:r>
              <w:t xml:space="preserve">Lead online messaging with range, speed and ease</w:t>
            </w:r>
          </w:p>
        </w:tc>
      </w:tr>
      <w:tr>
        <w:tc>
          <w:tcPr>
            <w:tcW w:w="720" w:type="dxa"/>
          </w:tcPr>
          <w:p>
            <w:pPr/>
            <w:r>
              <w:t xml:space="preserve">3</w:t>
            </w:r>
          </w:p>
        </w:tc>
        <w:tc>
          <w:tcPr>
            <w:tcW w:w="1680" w:type="dxa"/>
          </w:tcPr>
          <w:p>
            <w:pPr/>
            <w:r>
              <w:t xml:space="preserve">In-store wins on touch and trust</w:t>
            </w:r>
          </w:p>
        </w:tc>
        <w:tc>
          <w:tcPr>
            <w:tcW w:w="4533" w:type="dxa"/>
          </w:tcPr>
          <w:p>
            <w:pPr/>
            <w:r>
              <w:t xml:space="preserve">Reasons to prefer in-store: try before buying 32%, no delivery wait 26%, trust 26%</w:t>
            </w:r>
          </w:p>
        </w:tc>
        <w:tc>
          <w:tcPr>
            <w:tcW w:w="2427" w:type="dxa"/>
          </w:tcPr>
          <w:p>
            <w:pPr/>
            <w:r>
              <w:t xml:space="preserve">Offer click-and-collect, try-on and fast delivery</w:t>
            </w:r>
          </w:p>
        </w:tc>
      </w:tr>
      <w:tr>
        <w:tc>
          <w:tcPr>
            <w:tcW w:w="720" w:type="dxa"/>
          </w:tcPr>
          <w:p>
            <w:pPr/>
            <w:r>
              <w:t xml:space="preserve">4</w:t>
            </w:r>
          </w:p>
        </w:tc>
        <w:tc>
          <w:tcPr>
            <w:tcW w:w="1680" w:type="dxa"/>
          </w:tcPr>
          <w:p>
            <w:pPr/>
            <w:r>
              <w:t xml:space="preserve">Social ads drive impulse buying</w:t>
            </w:r>
          </w:p>
        </w:tc>
        <w:tc>
          <w:tcPr>
            <w:tcW w:w="4533" w:type="dxa"/>
          </w:tcPr>
          <w:p>
            <w:pPr/>
            <w:r>
              <w:t xml:space="preserve">Impulse buying rises with social ad influence (standardised effect 0.32, p &lt; 0.001); discounts and price comparison add nothing</w:t>
            </w:r>
          </w:p>
        </w:tc>
        <w:tc>
          <w:tcPr>
            <w:tcW w:w="2427" w:type="dxa"/>
          </w:tcPr>
          <w:p>
            <w:pPr/>
            <w:r>
              <w:t xml:space="preserve">Use social ads for impulse-prone shoppers, with social proof</w:t>
            </w:r>
          </w:p>
        </w:tc>
      </w:tr>
      <w:tr>
        <w:tc>
          <w:tcPr>
            <w:tcW w:w="720" w:type="dxa"/>
          </w:tcPr>
          <w:p>
            <w:pPr/>
            <w:r>
              <w:t xml:space="preserve">5</w:t>
            </w:r>
          </w:p>
        </w:tc>
        <w:tc>
          <w:tcPr>
            <w:tcW w:w="1680" w:type="dxa"/>
          </w:tcPr>
          <w:p>
            <w:pPr/>
            <w:r>
              <w:t xml:space="preserve">Impulse buying leads to regret</w:t>
            </w:r>
          </w:p>
        </w:tc>
        <w:tc>
          <w:tcPr>
            <w:tcW w:w="4533" w:type="dxa"/>
          </w:tcPr>
          <w:p>
            <w:pPr/>
            <w:r>
              <w:t xml:space="preserve">Average regret climbs from 1.75 to 3.00 (1 to 4 scale) as impulse frequency goes from 1 to 5</w:t>
            </w:r>
          </w:p>
        </w:tc>
        <w:tc>
          <w:tcPr>
            <w:tcW w:w="2427" w:type="dxa"/>
          </w:tcPr>
          <w:p>
            <w:pPr/>
            <w:r>
              <w:t xml:space="preserve">Offer easy returns and clear order confirmation</w:t>
            </w:r>
          </w:p>
        </w:tc>
      </w:tr>
      <w:tr>
        <w:tc>
          <w:tcPr>
            <w:tcW w:w="720" w:type="dxa"/>
          </w:tcPr>
          <w:p>
            <w:pPr/>
            <w:r>
              <w:t xml:space="preserve">6</w:t>
            </w:r>
          </w:p>
        </w:tc>
        <w:tc>
          <w:tcPr>
            <w:tcW w:w="1680" w:type="dxa"/>
          </w:tcPr>
          <w:p>
            <w:pPr/>
            <w:r>
              <w:t xml:space="preserve">Ages 36 to 50 barely respond to ads</w:t>
            </w:r>
          </w:p>
        </w:tc>
        <w:tc>
          <w:tcPr>
            <w:tcW w:w="4533" w:type="dxa"/>
          </w:tcPr>
          <w:p>
            <w:pPr/>
            <w:r>
              <w:t xml:space="preserve">Likelihood to buy after an ad is 2.40 vs 3.11 for ages 18 to 35 (p &lt; 0.001); impulse score 2.02, the lowest</w:t>
            </w:r>
          </w:p>
        </w:tc>
        <w:tc>
          <w:tcPr>
            <w:tcW w:w="2427" w:type="dxa"/>
          </w:tcPr>
          <w:p>
            <w:pPr/>
            <w:r>
              <w:t xml:space="preserve">Reach them with reviews and price comparisons</w:t>
            </w:r>
          </w:p>
        </w:tc>
      </w:tr>
      <w:tr>
        <w:tc>
          <w:tcPr>
            <w:tcW w:w="720" w:type="dxa"/>
          </w:tcPr>
          <w:p>
            <w:pPr/>
            <w:r>
              <w:t xml:space="preserve">7</w:t>
            </w:r>
          </w:p>
        </w:tc>
        <w:tc>
          <w:tcPr>
            <w:tcW w:w="1680" w:type="dxa"/>
          </w:tcPr>
          <w:p>
            <w:pPr/>
            <w:r>
              <w:t xml:space="preserve">Price comparison is near-universal</w:t>
            </w:r>
          </w:p>
        </w:tc>
        <w:tc>
          <w:tcPr>
            <w:tcW w:w="4533" w:type="dxa"/>
          </w:tcPr>
          <w:p>
            <w:pPr/>
            <w:r>
              <w:t xml:space="preserve">77% compare prices often or always; 62% rate discounts 4 or 5 out of 5, in every shopping mode</w:t>
            </w:r>
          </w:p>
        </w:tc>
        <w:tc>
          <w:tcPr>
            <w:tcW w:w="2427" w:type="dxa"/>
          </w:tcPr>
          <w:p>
            <w:pPr/>
            <w:r>
              <w:t xml:space="preserve">Show prices clearly; run promotions in every channel</w:t>
            </w:r>
          </w:p>
        </w:tc>
      </w:tr>
      <w:tr>
        <w:tc>
          <w:tcPr>
            <w:tcW w:w="720" w:type="dxa"/>
          </w:tcPr>
          <w:p>
            <w:pPr/>
            <w:r>
              <w:t xml:space="preserve">8</w:t>
            </w:r>
          </w:p>
        </w:tc>
        <w:tc>
          <w:tcPr>
            <w:tcW w:w="1680" w:type="dxa"/>
          </w:tcPr>
          <w:p>
            <w:pPr/>
            <w:r>
              <w:t xml:space="preserve">Wallets lead; BNPL is widespread</w:t>
            </w:r>
          </w:p>
        </w:tc>
        <w:tc>
          <w:tcPr>
            <w:tcW w:w="4533" w:type="dxa"/>
          </w:tcPr>
          <w:p>
            <w:pPr/>
            <w:r>
              <w:t xml:space="preserve">Digital wallet is preferred by 38%. 41% use buy-now-pay-later at least occasionally, 12% regularly (Kenya 28%, Brazil 21%, India 18%)</w:t>
            </w:r>
          </w:p>
        </w:tc>
        <w:tc>
          <w:tcPr>
            <w:tcW w:w="2427" w:type="dxa"/>
          </w:tcPr>
          <w:p>
            <w:pPr/>
            <w:r>
              <w:t xml:space="preserve">Support wallets everywhere; add BNPL in high-use markets</w:t>
            </w:r>
          </w:p>
        </w:tc>
      </w:tr>
      <w:tr>
        <w:tc>
          <w:tcPr>
            <w:tcW w:w="720" w:type="dxa"/>
          </w:tcPr>
          <w:p>
            <w:pPr/>
            <w:r>
              <w:t xml:space="preserve">9</w:t>
            </w:r>
          </w:p>
        </w:tc>
        <w:tc>
          <w:tcPr>
            <w:tcW w:w="1680" w:type="dxa"/>
          </w:tcPr>
          <w:p>
            <w:pPr/>
            <w:r>
              <w:t xml:space="preserve">Heavy review users trust reviews least</w:t>
            </w:r>
          </w:p>
        </w:tc>
        <w:tc>
          <w:tcPr>
            <w:tcW w:w="4533" w:type="dxa"/>
          </w:tcPr>
          <w:p>
            <w:pPr/>
            <w:r>
              <w:t xml:space="preserve">Trust in reviews averages 6.2 out of 10 and drifts down as review influence rises (6.6 to 5.7)</w:t>
            </w:r>
          </w:p>
        </w:tc>
        <w:tc>
          <w:tcPr>
            <w:tcW w:w="2427" w:type="dxa"/>
          </w:tcPr>
          <w:p>
            <w:pPr/>
            <w:r>
              <w:t xml:space="preserve">Show verified reviews to build trust</w:t>
            </w:r>
          </w:p>
        </w:tc>
      </w:tr>
      <w:tr>
        <w:tc>
          <w:tcPr>
            <w:tcW w:w="720" w:type="dxa"/>
          </w:tcPr>
          <w:p>
            <w:pPr/>
            <w:r>
              <w:t xml:space="preserve">10</w:t>
            </w:r>
          </w:p>
        </w:tc>
        <w:tc>
          <w:tcPr>
            <w:tcW w:w="1680" w:type="dxa"/>
          </w:tcPr>
          <w:p>
            <w:pPr/>
            <w:r>
              <w:t xml:space="preserve">Satisfaction does not separate customers</w:t>
            </w:r>
          </w:p>
        </w:tc>
        <w:tc>
          <w:tcPr>
            <w:tcW w:w="4533" w:type="dxa"/>
          </w:tcPr>
          <w:p>
            <w:pPr/>
            <w:r>
              <w:t xml:space="preserve">Average 7.1 out of 10, with no significant gap by age or country, and no link to regret</w:t>
            </w:r>
          </w:p>
        </w:tc>
        <w:tc>
          <w:tcPr>
            <w:tcW w:w="2427" w:type="dxa"/>
          </w:tcPr>
          <w:p>
            <w:pPr/>
            <w:r>
              <w:t xml:space="preserve">Track regret and returns, not satisfaction, to find problem segments</w:t>
            </w:r>
          </w:p>
        </w:tc>
      </w:tr>
    </w:tbl>
    <w:p>
      <w:pPr>
        <w:pStyle w:val="Heading2"/>
      </w:pPr>
      <w:r>
        <w:t xml:space="preserve">2. About the dataset</w:t>
      </w:r>
    </w:p>
    <w:p>
      <w:pPr/>
      <w:r>
        <w:t xml:space="preserve">This dataset captures how people shop in 2026: where they shop, what device they use, how much ads and reviews sway their decisions, how often they impulse-buy, and how they feel about it afterward.</w:t>
      </w:r>
    </w:p>
    <w:p>
      <w:pPr/>
      <w:r>
        <w:t xml:space="preserve">It was built by expanding a real 7-response Google Form pilot into a 500-row dataset that preserves the original response patterns, including realistic messiness like partially abandoned surveys, occasional typo'd fields, and missing values, so it behaves like genuine survey data rather than a perfectly clean synthetic table.</w:t>
      </w:r>
    </w:p>
    <w:p>
      <w:pPr/>
      <w:r>
        <w:t xml:space="preserve">Because it is generated from only 7 real responses, its relationships reflect how the data was built. Use it to practise analysis and form hypotheses, and confirm anything important with real survey data.</w:t>
      </w:r>
    </w:p>
    <w:tbl>
      <w:tblPr>
        <w:tblStyle w:val="TableGrid"/>
        <w:tblW w:w="0" w:type="auto"/>
        <w:tblLayout w:type="fixed"/>
        <w:tblLook w:val="04A0" w:firstRow="1" w:lastRow="0" w:firstColumn="0" w:lastColumn="0" w:noHBand="0" w:noVBand="1"/>
      </w:tblPr>
      <w:tblGrid>
        <w:gridCol w:w="2969"/>
        <w:gridCol w:w="4485"/>
        <w:gridCol w:w="1906"/>
      </w:tblGrid>
      <w:tr>
        <w:trPr>
          <w:tblHeader/>
        </w:trPr>
        <w:tc>
          <w:tcPr>
            <w:tcW w:w="2969" w:type="dxa"/>
            <w:shd w:val="clear" w:color="auto" w:fill="F2F2F2"/>
          </w:tcPr>
          <w:p>
            <w:pPr/>
            <w:r>
              <w:t xml:space="preserve">Column group</w:t>
            </w:r>
          </w:p>
        </w:tc>
        <w:tc>
          <w:tcPr>
            <w:tcW w:w="4485" w:type="dxa"/>
            <w:shd w:val="clear" w:color="auto" w:fill="F2F2F2"/>
          </w:tcPr>
          <w:p>
            <w:pPr/>
            <w:r>
              <w:t xml:space="preserve">Columns</w:t>
            </w:r>
          </w:p>
        </w:tc>
        <w:tc>
          <w:tcPr>
            <w:tcW w:w="1906" w:type="dxa"/>
            <w:shd w:val="clear" w:color="auto" w:fill="F2F2F2"/>
          </w:tcPr>
          <w:p>
            <w:pPr/>
            <w:r>
              <w:t xml:space="preserve">Scale or values</w:t>
            </w:r>
          </w:p>
        </w:tc>
      </w:tr>
      <w:tr>
        <w:tc>
          <w:tcPr>
            <w:tcW w:w="2969" w:type="dxa"/>
          </w:tcPr>
          <w:p>
            <w:pPr/>
            <w:r>
              <w:t xml:space="preserve">Identifiers (2)</w:t>
            </w:r>
          </w:p>
        </w:tc>
        <w:tc>
          <w:tcPr>
            <w:tcW w:w="4485" w:type="dxa"/>
          </w:tcPr>
          <w:p>
            <w:pPr/>
            <w:r>
              <w:t xml:space="preserve">Response_ID, Timestamp</w:t>
            </w:r>
          </w:p>
        </w:tc>
        <w:tc>
          <w:tcPr>
            <w:tcW w:w="1906" w:type="dxa"/>
          </w:tcPr>
          <w:p>
            <w:pPr/>
            <w:r>
              <w:t xml:space="preserve">1 to 500; day/month/year with time</w:t>
            </w:r>
          </w:p>
        </w:tc>
      </w:tr>
      <w:tr>
        <w:tc>
          <w:tcPr>
            <w:tcW w:w="2969" w:type="dxa"/>
          </w:tcPr>
          <w:p>
            <w:pPr/>
            <w:r>
              <w:t xml:space="preserve">Demographics (5)</w:t>
            </w:r>
          </w:p>
        </w:tc>
        <w:tc>
          <w:tcPr>
            <w:tcW w:w="4485" w:type="dxa"/>
          </w:tcPr>
          <w:p>
            <w:pPr/>
            <w:r>
              <w:t xml:space="preserve">Age, Gender, Occupation_Status, Country_Region, Monthly_Income_Range</w:t>
            </w:r>
          </w:p>
        </w:tc>
        <w:tc>
          <w:tcPr>
            <w:tcW w:w="1906" w:type="dxa"/>
          </w:tcPr>
          <w:p>
            <w:pPr/>
            <w:r>
              <w:t xml:space="preserve">Age 16 to 50; 19 countries; four income bands</w:t>
            </w:r>
          </w:p>
        </w:tc>
      </w:tr>
      <w:tr>
        <w:tc>
          <w:tcPr>
            <w:tcW w:w="2969" w:type="dxa"/>
          </w:tcPr>
          <w:p>
            <w:pPr/>
            <w:r>
              <w:t xml:space="preserve">Shopping habits (5)</w:t>
            </w:r>
          </w:p>
        </w:tc>
        <w:tc>
          <w:tcPr>
            <w:tcW w:w="4485" w:type="dxa"/>
          </w:tcPr>
          <w:p>
            <w:pPr/>
            <w:r>
              <w:t xml:space="preserve">Shop_Most_Where, Online_Shopping_Frequency, Preferred_Platform, Primary_Device, Top_Spending_Category</w:t>
            </w:r>
          </w:p>
        </w:tc>
        <w:tc>
          <w:tcPr>
            <w:tcW w:w="1906" w:type="dxa"/>
          </w:tcPr>
          <w:p>
            <w:pPr/>
            <w:r>
              <w:t xml:space="preserve">Categories</w:t>
            </w:r>
          </w:p>
        </w:tc>
      </w:tr>
      <w:tr>
        <w:tc>
          <w:tcPr>
            <w:tcW w:w="2969" w:type="dxa"/>
          </w:tcPr>
          <w:p>
            <w:pPr/>
            <w:r>
              <w:t xml:space="preserve">Influence and attitudes (7)</w:t>
            </w:r>
          </w:p>
        </w:tc>
        <w:tc>
          <w:tcPr>
            <w:tcW w:w="4485" w:type="dxa"/>
          </w:tcPr>
          <w:p>
            <w:pPr/>
            <w:r>
              <w:t xml:space="preserve">Review_Influence_Score, Social_Ads_Influence_Score, Price_Comparison_Frequency, Discount_Importance_Score, Likely_To_Buy_After_Ad_Score, Follows_Brands_On_Social, Makes_Shopping_List</w:t>
            </w:r>
          </w:p>
        </w:tc>
        <w:tc>
          <w:tcPr>
            <w:tcW w:w="1906" w:type="dxa"/>
          </w:tcPr>
          <w:p>
            <w:pPr/>
            <w:r>
              <w:t xml:space="preserve">Scores 1 to 5; Yes/No; Never to Always</w:t>
            </w:r>
          </w:p>
        </w:tc>
      </w:tr>
      <w:tr>
        <w:tc>
          <w:tcPr>
            <w:tcW w:w="2969" w:type="dxa"/>
          </w:tcPr>
          <w:p>
            <w:pPr/>
            <w:r>
              <w:t xml:space="preserve">Behaviour and spend (5)</w:t>
            </w:r>
          </w:p>
        </w:tc>
        <w:tc>
          <w:tcPr>
            <w:tcW w:w="4485" w:type="dxa"/>
          </w:tcPr>
          <w:p>
            <w:pPr/>
            <w:r>
              <w:t xml:space="preserve">Impulse_Purchase_Frequency, Return_Frequency, Avg_Monthly_Spend_NonEssentials, Preferred_Payment_Method, Uses_BNPL_Installments</w:t>
            </w:r>
          </w:p>
        </w:tc>
        <w:tc>
          <w:tcPr>
            <w:tcW w:w="1906" w:type="dxa"/>
          </w:tcPr>
          <w:p>
            <w:pPr/>
            <w:r>
              <w:t xml:space="preserve">Impulse 1 to 5; spend bands under $50 to $500+</w:t>
            </w:r>
          </w:p>
        </w:tc>
      </w:tr>
      <w:tr>
        <w:tc>
          <w:tcPr>
            <w:tcW w:w="2969" w:type="dxa"/>
          </w:tcPr>
          <w:p>
            <w:pPr/>
            <w:r>
              <w:t xml:space="preserve">Reflection (6)</w:t>
            </w:r>
          </w:p>
        </w:tc>
        <w:tc>
          <w:tcPr>
            <w:tcW w:w="4485" w:type="dxa"/>
          </w:tcPr>
          <w:p>
            <w:pPr/>
            <w:r>
              <w:t xml:space="preserve">Online_Shopping_Satisfaction_Score, Trust_In_Online_Reviews_Score, Regret_After_Purchase_Frequency, Reason_Prefer_Online, Reason_Prefer_InStore, Best_Shopping_Mode</w:t>
            </w:r>
          </w:p>
        </w:tc>
        <w:tc>
          <w:tcPr>
            <w:tcW w:w="1906" w:type="dxa"/>
          </w:tcPr>
          <w:p>
            <w:pPr/>
            <w:r>
              <w:t xml:space="preserve">Satisfaction and trust 1 to 10; regret 1 to 4</w:t>
            </w:r>
          </w:p>
        </w:tc>
      </w:tr>
    </w:tbl>
    <w:p>
      <w:pPr/>
      <w:r>
        <w:rPr>
          <w:b/>
        </w:rPr>
        <w:t xml:space="preserve">Who the 500 respondents are</w:t>
      </w:r>
    </w:p>
    <w:tbl>
      <w:tblPr>
        <w:tblStyle w:val="TableGrid"/>
        <w:tblW w:w="0" w:type="auto"/>
        <w:tblLayout w:type="fixed"/>
        <w:tblLook w:val="04A0" w:firstRow="1" w:lastRow="0" w:firstColumn="0" w:lastColumn="0" w:noHBand="0" w:noVBand="1"/>
      </w:tblPr>
      <w:tblGrid>
        <w:gridCol w:w="3213"/>
        <w:gridCol w:w="6146"/>
      </w:tblGrid>
      <w:tr>
        <w:trPr>
          <w:tblHeader/>
        </w:trPr>
        <w:tc>
          <w:tcPr>
            <w:tcW w:w="3213" w:type="dxa"/>
            <w:shd w:val="clear" w:color="auto" w:fill="F2F2F2"/>
          </w:tcPr>
          <w:p>
            <w:pPr/>
            <w:r>
              <w:t xml:space="preserve">Trait</w:t>
            </w:r>
          </w:p>
        </w:tc>
        <w:tc>
          <w:tcPr>
            <w:tcW w:w="6146" w:type="dxa"/>
            <w:shd w:val="clear" w:color="auto" w:fill="F2F2F2"/>
          </w:tcPr>
          <w:p>
            <w:pPr/>
            <w:r>
              <w:t xml:space="preserve">Profile</w:t>
            </w:r>
          </w:p>
        </w:tc>
      </w:tr>
      <w:tr>
        <w:tc>
          <w:tcPr>
            <w:tcW w:w="3213" w:type="dxa"/>
          </w:tcPr>
          <w:p>
            <w:pPr/>
            <w:r>
              <w:t xml:space="preserve">Age</w:t>
            </w:r>
          </w:p>
        </w:tc>
        <w:tc>
          <w:tcPr>
            <w:tcW w:w="6146" w:type="dxa"/>
          </w:tcPr>
          <w:p>
            <w:pPr/>
            <w:r>
              <w:t xml:space="preserve">16 to 50, median 22; 58% of valid ages are 18 to 25; nobody is over 50</w:t>
            </w:r>
          </w:p>
        </w:tc>
      </w:tr>
      <w:tr>
        <w:tc>
          <w:tcPr>
            <w:tcW w:w="3213" w:type="dxa"/>
          </w:tcPr>
          <w:p>
            <w:pPr/>
            <w:r>
              <w:t xml:space="preserve">Occupation</w:t>
            </w:r>
          </w:p>
        </w:tc>
        <w:tc>
          <w:tcPr>
            <w:tcW w:w="6146" w:type="dxa"/>
          </w:tcPr>
          <w:p>
            <w:pPr/>
            <w:r>
              <w:t xml:space="preserve">About half are students (238 of 479 who answered)</w:t>
            </w:r>
          </w:p>
        </w:tc>
      </w:tr>
      <w:tr>
        <w:tc>
          <w:tcPr>
            <w:tcW w:w="3213" w:type="dxa"/>
          </w:tcPr>
          <w:p>
            <w:pPr/>
            <w:r>
              <w:t xml:space="preserve">Gender</w:t>
            </w:r>
          </w:p>
        </w:tc>
        <w:tc>
          <w:tcPr>
            <w:tcW w:w="6146" w:type="dxa"/>
          </w:tcPr>
          <w:p>
            <w:pPr/>
            <w:r>
              <w:t xml:space="preserve">Male 53%, female 37%, prefer not to say 11% (484 answered)</w:t>
            </w:r>
          </w:p>
        </w:tc>
      </w:tr>
      <w:tr>
        <w:tc>
          <w:tcPr>
            <w:tcW w:w="3213" w:type="dxa"/>
          </w:tcPr>
          <w:p>
            <w:pPr/>
            <w:r>
              <w:t xml:space="preserve">Income</w:t>
            </w:r>
          </w:p>
        </w:tc>
        <w:tc>
          <w:tcPr>
            <w:tcW w:w="6146" w:type="dxa"/>
          </w:tcPr>
          <w:p>
            <w:pPr/>
            <w:r>
              <w:t xml:space="preserve">54% earn under $1,000 a month (257 of 479)</w:t>
            </w:r>
          </w:p>
        </w:tc>
      </w:tr>
      <w:tr>
        <w:tc>
          <w:tcPr>
            <w:tcW w:w="3213" w:type="dxa"/>
          </w:tcPr>
          <w:p>
            <w:pPr/>
            <w:r>
              <w:t xml:space="preserve">Country</w:t>
            </w:r>
          </w:p>
        </w:tc>
        <w:tc>
          <w:tcPr>
            <w:tcW w:w="6146" w:type="dxa"/>
          </w:tcPr>
          <w:p>
            <w:pPr/>
            <w:r>
              <w:t xml:space="preserve">India 66, United States 56, Brazil 38, Mexico 35; Slovakia has only 6</w:t>
            </w:r>
          </w:p>
        </w:tc>
      </w:tr>
      <w:tr>
        <w:tc>
          <w:tcPr>
            <w:tcW w:w="3213" w:type="dxa"/>
          </w:tcPr>
          <w:p>
            <w:pPr/>
            <w:r>
              <w:t xml:space="preserve">Main device</w:t>
            </w:r>
          </w:p>
        </w:tc>
        <w:tc>
          <w:tcPr>
            <w:tcW w:w="6146" w:type="dxa"/>
          </w:tcPr>
          <w:p>
            <w:pPr/>
            <w:r>
              <w:t xml:space="preserve">Smartphone 64%, laptop 31%, tablet 5%</w:t>
            </w:r>
          </w:p>
        </w:tc>
      </w:tr>
      <w:tr>
        <w:tc>
          <w:tcPr>
            <w:tcW w:w="3213" w:type="dxa"/>
          </w:tcPr>
          <w:p>
            <w:pPr/>
            <w:r>
              <w:t xml:space="preserve">Top spending category</w:t>
            </w:r>
          </w:p>
        </w:tc>
        <w:tc>
          <w:tcPr>
            <w:tcW w:w="6146" w:type="dxa"/>
          </w:tcPr>
          <w:p>
            <w:pPr/>
            <w:r>
              <w:t xml:space="preserve">Clothing 38%, groceries 19%, electronics 16%</w:t>
            </w:r>
          </w:p>
        </w:tc>
      </w:tr>
    </w:tbl>
    <w:p>
      <w:pPr>
        <w:pStyle w:val="Heading2"/>
      </w:pPr>
      <w:r>
        <w:t xml:space="preserve">3. Data quality: problems detected and how they were handled</w:t>
      </w:r>
    </w:p>
    <w:p>
      <w:pPr/>
      <w:r>
        <w:t xml:space="preserve">No duplicate rows or Response_IDs exist. Every column has some missing values, and only 157 rows (31%) are complete, so I kept all rows and used the answered values for each question, always noting the sample size.</w:t>
      </w:r>
    </w:p>
    <w:tbl>
      <w:tblPr>
        <w:tblStyle w:val="TableGrid"/>
        <w:tblW w:w="0" w:type="auto"/>
        <w:tblLayout w:type="fixed"/>
        <w:tblLook w:val="04A0" w:firstRow="1" w:lastRow="0" w:firstColumn="0" w:lastColumn="0" w:noHBand="0" w:noVBand="1"/>
      </w:tblPr>
      <w:tblGrid>
        <w:gridCol w:w="720"/>
        <w:gridCol w:w="1662"/>
        <w:gridCol w:w="3645"/>
        <w:gridCol w:w="3333"/>
      </w:tblGrid>
      <w:tr>
        <w:trPr>
          <w:tblHeader/>
        </w:trPr>
        <w:tc>
          <w:tcPr>
            <w:tcW w:w="720" w:type="dxa"/>
            <w:shd w:val="clear" w:color="auto" w:fill="F2F2F2"/>
          </w:tcPr>
          <w:p>
            <w:pPr/>
            <w:r>
              <w:t xml:space="preserve">#</w:t>
            </w:r>
          </w:p>
        </w:tc>
        <w:tc>
          <w:tcPr>
            <w:tcW w:w="1662" w:type="dxa"/>
            <w:shd w:val="clear" w:color="auto" w:fill="F2F2F2"/>
          </w:tcPr>
          <w:p>
            <w:pPr/>
            <w:r>
              <w:t xml:space="preserve">Problem</w:t>
            </w:r>
          </w:p>
        </w:tc>
        <w:tc>
          <w:tcPr>
            <w:tcW w:w="3645" w:type="dxa"/>
            <w:shd w:val="clear" w:color="auto" w:fill="F2F2F2"/>
          </w:tcPr>
          <w:p>
            <w:pPr/>
            <w:r>
              <w:t xml:space="preserve">Evidence</w:t>
            </w:r>
          </w:p>
        </w:tc>
        <w:tc>
          <w:tcPr>
            <w:tcW w:w="3333" w:type="dxa"/>
            <w:shd w:val="clear" w:color="auto" w:fill="F2F2F2"/>
          </w:tcPr>
          <w:p>
            <w:pPr/>
            <w:r>
              <w:t xml:space="preserve">How it was handled</w:t>
            </w:r>
          </w:p>
        </w:tc>
      </w:tr>
      <w:tr>
        <w:tc>
          <w:tcPr>
            <w:tcW w:w="720" w:type="dxa"/>
          </w:tcPr>
          <w:p>
            <w:pPr/>
            <w:r>
              <w:t xml:space="preserve">1</w:t>
            </w:r>
          </w:p>
        </w:tc>
        <w:tc>
          <w:tcPr>
            <w:tcW w:w="1662" w:type="dxa"/>
          </w:tcPr>
          <w:p>
            <w:pPr/>
            <w:r>
              <w:t xml:space="preserve">Typo'd ages</w:t>
            </w:r>
          </w:p>
        </w:tc>
        <w:tc>
          <w:tcPr>
            <w:tcW w:w="3645" w:type="dxa"/>
          </w:tcPr>
          <w:p>
            <w:pPr/>
            <w:r>
              <w:t xml:space="preserve">8 text entries ('rahul', 'test', 'xyz', 'N/A123', 'asdf', '...', 'Gunay B', 'Priya K') plus 22 blanks</w:t>
            </w:r>
          </w:p>
        </w:tc>
        <w:tc>
          <w:tcPr>
            <w:tcW w:w="3333" w:type="dxa"/>
          </w:tcPr>
          <w:p>
            <w:pPr/>
            <w:r>
              <w:t xml:space="preserve">Converted Age to numbers, set junk to missing, no guessing; 470 valid ages remain</w:t>
            </w:r>
          </w:p>
        </w:tc>
      </w:tr>
      <w:tr>
        <w:tc>
          <w:tcPr>
            <w:tcW w:w="720" w:type="dxa"/>
          </w:tcPr>
          <w:p>
            <w:pPr/>
            <w:r>
              <w:t xml:space="preserve">2</w:t>
            </w:r>
          </w:p>
        </w:tc>
        <w:tc>
          <w:tcPr>
            <w:tcW w:w="1662" w:type="dxa"/>
          </w:tcPr>
          <w:p>
            <w:pPr/>
            <w:r>
              <w:t xml:space="preserve">Age bands break at the edges</w:t>
            </w:r>
          </w:p>
        </w:tc>
        <w:tc>
          <w:tcPr>
            <w:tcW w:w="3645" w:type="dxa"/>
          </w:tcPr>
          <w:p>
            <w:pPr/>
            <w:r>
              <w:t xml:space="preserve">45 respondents are exactly 18, and the common default (right-closed bins) puts them with 'under 18', raising minors from 33 to 78</w:t>
            </w:r>
          </w:p>
        </w:tc>
        <w:tc>
          <w:tcPr>
            <w:tcW w:w="3333" w:type="dxa"/>
          </w:tcPr>
          <w:p>
            <w:pPr/>
            <w:r>
              <w:t xml:space="preserve">Used explicit bands: under 18 (33), 18 to 25 (273), 26 to 35 (110), 36 to 50 (54)</w:t>
            </w:r>
          </w:p>
        </w:tc>
      </w:tr>
      <w:tr>
        <w:tc>
          <w:tcPr>
            <w:tcW w:w="720" w:type="dxa"/>
          </w:tcPr>
          <w:p>
            <w:pPr/>
            <w:r>
              <w:t xml:space="preserve">3</w:t>
            </w:r>
          </w:p>
        </w:tc>
        <w:tc>
          <w:tcPr>
            <w:tcW w:w="1662" w:type="dxa"/>
          </w:tcPr>
          <w:p>
            <w:pPr/>
            <w:r>
              <w:t xml:space="preserve">Partially abandoned surveys</w:t>
            </w:r>
          </w:p>
        </w:tc>
        <w:tc>
          <w:tcPr>
            <w:tcW w:w="3645" w:type="dxa"/>
          </w:tcPr>
          <w:p>
            <w:pPr/>
            <w:r>
              <w:t xml:space="preserve">30 respondents (6%) skip all six closing questions; 93 skip exactly one; nobody skips three to five. They are spread across 26 different days</w:t>
            </w:r>
          </w:p>
        </w:tc>
        <w:tc>
          <w:tcPr>
            <w:tcW w:w="3333" w:type="dxa"/>
          </w:tcPr>
          <w:p>
            <w:pPr/>
            <w:r>
              <w:t xml:space="preserve">Kept their early answers; excluded them only from the closing questions. Device does not explain it (smartphone 6.3%, laptop 5.2%)</w:t>
            </w:r>
          </w:p>
        </w:tc>
      </w:tr>
      <w:tr>
        <w:tc>
          <w:tcPr>
            <w:tcW w:w="720" w:type="dxa"/>
          </w:tcPr>
          <w:p>
            <w:pPr/>
            <w:r>
              <w:t xml:space="preserve">4</w:t>
            </w:r>
          </w:p>
        </w:tc>
        <w:tc>
          <w:tcPr>
            <w:tcW w:w="1662" w:type="dxa"/>
          </w:tcPr>
          <w:p>
            <w:pPr/>
            <w:r>
              <w:t xml:space="preserve">Missingness is not even</w:t>
            </w:r>
          </w:p>
        </w:tc>
        <w:tc>
          <w:tcPr>
            <w:tcW w:w="3645" w:type="dxa"/>
          </w:tcPr>
          <w:p>
            <w:pPr/>
            <w:r>
              <w:t xml:space="preserve">Satisfaction is blank for 17% of ages 36 to 50 but 6% to 9% of other ages; closing questions are 9% to 11% blank vs at most 5% earlier</w:t>
            </w:r>
          </w:p>
        </w:tc>
        <w:tc>
          <w:tcPr>
            <w:tcW w:w="3333" w:type="dxa"/>
          </w:tcPr>
          <w:p>
            <w:pPr/>
            <w:r>
              <w:t xml:space="preserve">Treated 36 to 50 satisfaction results as less certain</w:t>
            </w:r>
          </w:p>
        </w:tc>
      </w:tr>
      <w:tr>
        <w:tc>
          <w:tcPr>
            <w:tcW w:w="720" w:type="dxa"/>
          </w:tcPr>
          <w:p>
            <w:pPr/>
            <w:r>
              <w:t xml:space="preserve">5</w:t>
            </w:r>
          </w:p>
        </w:tc>
        <w:tc>
          <w:tcPr>
            <w:tcW w:w="1662" w:type="dxa"/>
          </w:tcPr>
          <w:p>
            <w:pPr/>
            <w:r>
              <w:t xml:space="preserve">Contradictory answers</w:t>
            </w:r>
          </w:p>
        </w:tc>
        <w:tc>
          <w:tcPr>
            <w:tcW w:w="3645" w:type="dxa"/>
          </w:tcPr>
          <w:p>
            <w:pPr/>
            <w:r>
              <w:t xml:space="preserve">67 respondents: 42 'online only' shoppers who name physical stores as preferred platform or shop online 'Rarely', and 25 'in-store only' shoppers who shop online 'Often' or 'Always'</w:t>
            </w:r>
          </w:p>
        </w:tc>
        <w:tc>
          <w:tcPr>
            <w:tcW w:w="3333" w:type="dxa"/>
          </w:tcPr>
          <w:p>
            <w:pPr/>
            <w:r>
              <w:t xml:space="preserve">Kept and flagged them. Excluding them leaves the impulse, regret, ad and age findings unchanged, but channel shares shift (equal mix 60%, online only 30%), so treat those as approximate</w:t>
            </w:r>
          </w:p>
        </w:tc>
      </w:tr>
      <w:tr>
        <w:tc>
          <w:tcPr>
            <w:tcW w:w="720" w:type="dxa"/>
          </w:tcPr>
          <w:p>
            <w:pPr/>
            <w:r>
              <w:t xml:space="preserve">6</w:t>
            </w:r>
          </w:p>
        </w:tc>
        <w:tc>
          <w:tcPr>
            <w:tcW w:w="1662" w:type="dxa"/>
          </w:tcPr>
          <w:p>
            <w:pPr/>
            <w:r>
              <w:t xml:space="preserve">Online satisfaction from non-online shoppers</w:t>
            </w:r>
          </w:p>
        </w:tc>
        <w:tc>
          <w:tcPr>
            <w:tcW w:w="3645" w:type="dxa"/>
          </w:tcPr>
          <w:p>
            <w:pPr/>
            <w:r>
              <w:t xml:space="preserve">In-store-only shoppers score it 7.58, higher than online-only shoppers at 7.00 (p = 0.012)</w:t>
            </w:r>
          </w:p>
        </w:tc>
        <w:tc>
          <w:tcPr>
            <w:tcW w:w="3333" w:type="dxa"/>
          </w:tcPr>
          <w:p>
            <w:pPr/>
            <w:r>
              <w:t xml:space="preserve">Treated satisfaction as a general feeling, not a pure online measure</w:t>
            </w:r>
          </w:p>
        </w:tc>
      </w:tr>
      <w:tr>
        <w:tc>
          <w:tcPr>
            <w:tcW w:w="720" w:type="dxa"/>
          </w:tcPr>
          <w:p>
            <w:pPr/>
            <w:r>
              <w:t xml:space="preserve">7</w:t>
            </w:r>
          </w:p>
        </w:tc>
        <w:tc>
          <w:tcPr>
            <w:tcW w:w="1662" w:type="dxa"/>
          </w:tcPr>
          <w:p>
            <w:pPr/>
            <w:r>
              <w:t xml:space="preserve">'Not applicable' vs blank</w:t>
            </w:r>
          </w:p>
        </w:tc>
        <w:tc>
          <w:tcPr>
            <w:tcW w:w="3645" w:type="dxa"/>
          </w:tcPr>
          <w:p>
            <w:pPr/>
            <w:r>
              <w:t xml:space="preserve">'Not applicable' is 38 answers (online reason) and 72 (in-store reason); blanks are 54 and 45</w:t>
            </w:r>
          </w:p>
        </w:tc>
        <w:tc>
          <w:tcPr>
            <w:tcW w:w="3333" w:type="dxa"/>
          </w:tcPr>
          <w:p>
            <w:pPr/>
            <w:r>
              <w:t xml:space="preserve">Kept 'Not applicable' as an answer, treated blanks as missing, and showed percentages among answered</w:t>
            </w:r>
          </w:p>
        </w:tc>
      </w:tr>
      <w:tr>
        <w:tc>
          <w:tcPr>
            <w:tcW w:w="720" w:type="dxa"/>
          </w:tcPr>
          <w:p>
            <w:pPr/>
            <w:r>
              <w:t xml:space="preserve">8</w:t>
            </w:r>
          </w:p>
        </w:tc>
        <w:tc>
          <w:tcPr>
            <w:tcW w:w="1662" w:type="dxa"/>
          </w:tcPr>
          <w:p>
            <w:pPr/>
            <w:r>
              <w:t xml:space="preserve">Mixed scales</w:t>
            </w:r>
          </w:p>
        </w:tc>
        <w:tc>
          <w:tcPr>
            <w:tcW w:w="3645" w:type="dxa"/>
          </w:tcPr>
          <w:p>
            <w:pPr/>
            <w:r>
              <w:t xml:space="preserve">Scores run 1 to 5, 1 to 10, and regret 1 to 4</w:t>
            </w:r>
          </w:p>
        </w:tc>
        <w:tc>
          <w:tcPr>
            <w:tcW w:w="3333" w:type="dxa"/>
          </w:tcPr>
          <w:p>
            <w:pPr/>
            <w:r>
              <w:t xml:space="preserve">Compared within each measure only; used rank correlation (Spearman) so scale length does not matter</w:t>
            </w:r>
          </w:p>
        </w:tc>
      </w:tr>
      <w:tr>
        <w:tc>
          <w:tcPr>
            <w:tcW w:w="720" w:type="dxa"/>
          </w:tcPr>
          <w:p>
            <w:pPr/>
            <w:r>
              <w:t xml:space="preserve">9</w:t>
            </w:r>
          </w:p>
        </w:tc>
        <w:tc>
          <w:tcPr>
            <w:tcW w:w="1662" w:type="dxa"/>
          </w:tcPr>
          <w:p>
            <w:pPr/>
            <w:r>
              <w:t xml:space="preserve">Small groups</w:t>
            </w:r>
          </w:p>
        </w:tc>
        <w:tc>
          <w:tcPr>
            <w:tcW w:w="3645" w:type="dxa"/>
          </w:tcPr>
          <w:p>
            <w:pPr/>
            <w:r>
              <w:t xml:space="preserve">Countries range from 6 to 66 respondents; unemployed is 19</w:t>
            </w:r>
          </w:p>
        </w:tc>
        <w:tc>
          <w:tcPr>
            <w:tcW w:w="3333" w:type="dxa"/>
          </w:tcPr>
          <w:p>
            <w:pPr/>
            <w:r>
              <w:t xml:space="preserve">Used non-parametric tests, labelled small-group results as directional</w:t>
            </w:r>
          </w:p>
        </w:tc>
      </w:tr>
      <w:tr>
        <w:tc>
          <w:tcPr>
            <w:tcW w:w="720" w:type="dxa"/>
          </w:tcPr>
          <w:p>
            <w:pPr/>
            <w:r>
              <w:t xml:space="preserve">10</w:t>
            </w:r>
          </w:p>
        </w:tc>
        <w:tc>
          <w:tcPr>
            <w:tcW w:w="1662" w:type="dxa"/>
          </w:tcPr>
          <w:p>
            <w:pPr/>
            <w:r>
              <w:t xml:space="preserve">Label inconsistency</w:t>
            </w:r>
          </w:p>
        </w:tc>
        <w:tc>
          <w:tcPr>
            <w:tcW w:w="3645" w:type="dxa"/>
          </w:tcPr>
          <w:p>
            <w:pPr/>
            <w:r>
              <w:t xml:space="preserve">'miscellaneous' is lowercase while other categories are title case</w:t>
            </w:r>
          </w:p>
        </w:tc>
        <w:tc>
          <w:tcPr>
            <w:tcW w:w="3333" w:type="dxa"/>
          </w:tcPr>
          <w:p>
            <w:pPr/>
            <w:r>
              <w:t xml:space="preserve">Standardised to 'Miscellaneous' for display</w:t>
            </w:r>
          </w:p>
        </w:tc>
      </w:tr>
      <w:tr>
        <w:tc>
          <w:tcPr>
            <w:tcW w:w="720" w:type="dxa"/>
          </w:tcPr>
          <w:p>
            <w:pPr/>
            <w:r>
              <w:t xml:space="preserve">11</w:t>
            </w:r>
          </w:p>
        </w:tc>
        <w:tc>
          <w:tcPr>
            <w:tcW w:w="1662" w:type="dxa"/>
          </w:tcPr>
          <w:p>
            <w:pPr/>
            <w:r>
              <w:t xml:space="preserve">Minors in the sample</w:t>
            </w:r>
          </w:p>
        </w:tc>
        <w:tc>
          <w:tcPr>
            <w:tcW w:w="3645" w:type="dxa"/>
          </w:tcPr>
          <w:p>
            <w:pPr/>
            <w:r>
              <w:t xml:space="preserve">33 respondents are under 18; 9 prefer credit cards</w:t>
            </w:r>
          </w:p>
        </w:tc>
        <w:tc>
          <w:tcPr>
            <w:tcW w:w="3333" w:type="dxa"/>
          </w:tcPr>
          <w:p>
            <w:pPr/>
            <w:r>
              <w:t xml:space="preserve">Flagged for a consent and data-handling check</w:t>
            </w:r>
          </w:p>
        </w:tc>
      </w:tr>
    </w:tbl>
    <w:p>
      <w:pPr>
        <w:pStyle w:val="Heading2"/>
      </w:pPr>
      <w:r>
        <w:t xml:space="preserve">4. Deep learnings</w:t>
      </w:r>
    </w:p>
    <w:p>
      <w:pPr/>
      <w:r>
        <w:t xml:space="preserve">The strongest structure in the data is a chain from social ads to impulse buying to regret. Most demographic differences are small.</w:t>
      </w:r>
    </w:p>
    <w:p>
      <w:pPr>
        <w:pStyle w:val="Heading3"/>
      </w:pPr>
      <w:r>
        <w:t xml:space="preserve">4.1 The chain from influence to impulse to regret</w:t>
      </w:r>
    </w:p>
    <w:p>
      <w:pPr/>
      <w:r>
        <w:t xml:space="preserve">Regret rises at every step of impulse buying (rank correlation 0.31, p &lt; 0.001), and 37% of respondents report regret at 3 or 4 on its 1 to 4 scale.</w:t>
      </w:r>
    </w:p>
    <w:tbl>
      <w:tblPr>
        <w:tblStyle w:val="TableGrid"/>
        <w:tblW w:w="0" w:type="auto"/>
        <w:tblLayout w:type="fixed"/>
        <w:tblLook w:val="04A0" w:firstRow="1" w:lastRow="0" w:firstColumn="0" w:lastColumn="0" w:noHBand="0" w:noVBand="1"/>
      </w:tblPr>
      <w:tblGrid>
        <w:gridCol w:w="3928"/>
        <w:gridCol w:w="2035"/>
        <w:gridCol w:w="3395"/>
      </w:tblGrid>
      <w:tr>
        <w:trPr>
          <w:tblHeader/>
        </w:trPr>
        <w:tc>
          <w:tcPr>
            <w:tcW w:w="3928" w:type="dxa"/>
            <w:shd w:val="clear" w:color="auto" w:fill="F2F2F2"/>
          </w:tcPr>
          <w:p>
            <w:pPr/>
            <w:r>
              <w:t xml:space="preserve">Impulse frequency (1 to 5)</w:t>
            </w:r>
          </w:p>
        </w:tc>
        <w:tc>
          <w:tcPr>
            <w:tcW w:w="2035" w:type="dxa"/>
            <w:shd w:val="clear" w:color="auto" w:fill="F2F2F2"/>
          </w:tcPr>
          <w:p>
            <w:pPr/>
            <w:r>
              <w:t xml:space="preserve">Respondents</w:t>
            </w:r>
          </w:p>
        </w:tc>
        <w:tc>
          <w:tcPr>
            <w:tcW w:w="3395" w:type="dxa"/>
            <w:shd w:val="clear" w:color="auto" w:fill="F2F2F2"/>
          </w:tcPr>
          <w:p>
            <w:pPr/>
            <w:r>
              <w:t xml:space="preserve">Average regret (1 to 4)</w:t>
            </w:r>
          </w:p>
        </w:tc>
      </w:tr>
      <w:tr>
        <w:tc>
          <w:tcPr>
            <w:tcW w:w="3928" w:type="dxa"/>
          </w:tcPr>
          <w:p>
            <w:pPr/>
            <w:r>
              <w:t xml:space="preserve">1</w:t>
            </w:r>
          </w:p>
        </w:tc>
        <w:tc>
          <w:tcPr>
            <w:tcW w:w="2035" w:type="dxa"/>
          </w:tcPr>
          <w:p>
            <w:pPr/>
            <w:r>
              <w:t xml:space="preserve">85</w:t>
            </w:r>
          </w:p>
        </w:tc>
        <w:tc>
          <w:tcPr>
            <w:tcW w:w="3395" w:type="dxa"/>
          </w:tcPr>
          <w:p>
            <w:pPr/>
            <w:r>
              <w:t xml:space="preserve">1.75</w:t>
            </w:r>
          </w:p>
        </w:tc>
      </w:tr>
      <w:tr>
        <w:tc>
          <w:tcPr>
            <w:tcW w:w="3928" w:type="dxa"/>
          </w:tcPr>
          <w:p>
            <w:pPr/>
            <w:r>
              <w:t xml:space="preserve">2</w:t>
            </w:r>
          </w:p>
        </w:tc>
        <w:tc>
          <w:tcPr>
            <w:tcW w:w="2035" w:type="dxa"/>
          </w:tcPr>
          <w:p>
            <w:pPr/>
            <w:r>
              <w:t xml:space="preserve">128</w:t>
            </w:r>
          </w:p>
        </w:tc>
        <w:tc>
          <w:tcPr>
            <w:tcW w:w="3395" w:type="dxa"/>
          </w:tcPr>
          <w:p>
            <w:pPr/>
            <w:r>
              <w:t xml:space="preserve">2.11</w:t>
            </w:r>
          </w:p>
        </w:tc>
      </w:tr>
      <w:tr>
        <w:tc>
          <w:tcPr>
            <w:tcW w:w="3928" w:type="dxa"/>
          </w:tcPr>
          <w:p>
            <w:pPr/>
            <w:r>
              <w:t xml:space="preserve">3</w:t>
            </w:r>
          </w:p>
        </w:tc>
        <w:tc>
          <w:tcPr>
            <w:tcW w:w="2035" w:type="dxa"/>
          </w:tcPr>
          <w:p>
            <w:pPr/>
            <w:r>
              <w:t xml:space="preserve">119</w:t>
            </w:r>
          </w:p>
        </w:tc>
        <w:tc>
          <w:tcPr>
            <w:tcW w:w="3395" w:type="dxa"/>
          </w:tcPr>
          <w:p>
            <w:pPr/>
            <w:r>
              <w:t xml:space="preserve">2.26</w:t>
            </w:r>
          </w:p>
        </w:tc>
      </w:tr>
      <w:tr>
        <w:tc>
          <w:tcPr>
            <w:tcW w:w="3928" w:type="dxa"/>
          </w:tcPr>
          <w:p>
            <w:pPr/>
            <w:r>
              <w:t xml:space="preserve">4</w:t>
            </w:r>
          </w:p>
        </w:tc>
        <w:tc>
          <w:tcPr>
            <w:tcW w:w="2035" w:type="dxa"/>
          </w:tcPr>
          <w:p>
            <w:pPr/>
            <w:r>
              <w:t xml:space="preserve">75</w:t>
            </w:r>
          </w:p>
        </w:tc>
        <w:tc>
          <w:tcPr>
            <w:tcW w:w="3395" w:type="dxa"/>
          </w:tcPr>
          <w:p>
            <w:pPr/>
            <w:r>
              <w:t xml:space="preserve">2.44</w:t>
            </w:r>
          </w:p>
        </w:tc>
      </w:tr>
      <w:tr>
        <w:tc>
          <w:tcPr>
            <w:tcW w:w="3928" w:type="dxa"/>
          </w:tcPr>
          <w:p>
            <w:pPr/>
            <w:r>
              <w:t xml:space="preserve">5</w:t>
            </w:r>
          </w:p>
        </w:tc>
        <w:tc>
          <w:tcPr>
            <w:tcW w:w="2035" w:type="dxa"/>
          </w:tcPr>
          <w:p>
            <w:pPr/>
            <w:r>
              <w:t xml:space="preserve">26</w:t>
            </w:r>
          </w:p>
        </w:tc>
        <w:tc>
          <w:tcPr>
            <w:tcW w:w="3395" w:type="dxa"/>
          </w:tcPr>
          <w:p>
            <w:pPr/>
            <w:r>
              <w:t xml:space="preserve">3.00</w:t>
            </w:r>
          </w:p>
        </w:tc>
      </w:tr>
    </w:tbl>
    <w:p>
      <w:pPr/>
      <w:r>
        <w:t xml:space="preserve">A regression on standardised scores (a value of 0.32 means a one-standard-deviation rise in one score goes with a 0.32 rise in the other) separates the drivers:</w:t>
      </w:r>
    </w:p>
    <w:p>
      <w:pPr>
        <w:pStyle w:val="ListParagraph"/>
        <w:numPr>
          <w:ilvl w:val="0"/>
          <w:numId w:val="2"/>
        </w:numPr>
      </w:pPr>
      <w:r>
        <w:rPr>
          <w:b/>
        </w:rPr>
        <w:t xml:space="preserve">Impulse buying</w:t>
      </w:r>
      <w:r>
        <w:t xml:space="preserve"> is explained by social ad influence (0.32, p &lt; 0.001) and younger age (-0.13, p = 0.007). Review influence, discount importance and price comparison add nothing (model R² 0.18).</w:t>
      </w:r>
    </w:p>
    <w:p>
      <w:pPr>
        <w:pStyle w:val="ListParagraph"/>
        <w:numPr>
          <w:ilvl w:val="0"/>
          <w:numId w:val="2"/>
        </w:numPr>
      </w:pPr>
      <w:r>
        <w:rPr>
          <w:b/>
        </w:rPr>
        <w:t xml:space="preserve">Regret</w:t>
      </w:r>
      <w:r>
        <w:t xml:space="preserve"> is explained only by impulse buying (0.29, p &lt; 0.001); no other measure adds significantly (R² 0.08).</w:t>
      </w:r>
    </w:p>
    <w:p>
      <w:pPr>
        <w:pStyle w:val="ListParagraph"/>
        <w:numPr>
          <w:ilvl w:val="0"/>
          <w:numId w:val="2"/>
        </w:numPr>
      </w:pPr>
      <w:r>
        <w:rPr>
          <w:b/>
        </w:rPr>
        <w:t xml:space="preserve">Buying after an ad</w:t>
      </w:r>
      <w:r>
        <w:t xml:space="preserve"> is a separate behaviour. It follows social ad influence (0.33), review influence (0.23) and younger age (-0.13), and is not linked to impulse buying once those are included (R² 0.28).</w:t>
      </w:r>
    </w:p>
    <w:p>
      <w:pPr>
        <w:pStyle w:val="ListParagraph"/>
        <w:numPr>
          <w:ilvl w:val="0"/>
          <w:numId w:val="2"/>
        </w:numPr>
      </w:pPr>
      <w:r>
        <w:rPr>
          <w:b/>
        </w:rPr>
        <w:t xml:space="preserve">Planning does not help.</w:t>
      </w:r>
      <w:r>
        <w:t xml:space="preserve"> Shoppers who always or often make a list score 2.59 on impulse vs 2.54 for those who never do (p = 0.86). Frequent returners are not less regretful (2.17 vs 2.26 for never).</w:t>
      </w:r>
    </w:p>
    <w:p>
      <w:pPr>
        <w:pStyle w:val="ListParagraph"/>
        <w:numPr>
          <w:ilvl w:val="0"/>
          <w:numId w:val="2"/>
        </w:numPr>
      </w:pPr>
      <w:r>
        <w:rPr>
          <w:b/>
        </w:rPr>
        <w:t xml:space="preserve">Satisfaction is disconnected.</w:t>
      </w:r>
      <w:r>
        <w:t xml:space="preserve"> It has essentially no correlation with regret, trust or impulse buying.</w:t>
      </w:r>
    </w:p>
    <w:p>
      <w:pPr>
        <w:pStyle w:val="Heading3"/>
      </w:pPr>
      <w:r>
        <w:t xml:space="preserve">4.2 Age shapes persuasion, not satisfaction</w:t>
      </w:r>
    </w:p>
    <w:p>
      <w:pPr/>
      <w:r>
        <w:t xml:space="preserve">Shoppers aged 36 to 50 are the least impulsive, the least responsive to ads and the least regretful. Age differences in impulse buying (p &lt; 0.001), ad response (p &lt; 0.001) and social ad influence (p = 0.049) are significant; satisfaction is not (p = 0.30).</w:t>
      </w:r>
    </w:p>
    <w:tbl>
      <w:tblPr>
        <w:tblStyle w:val="TableGrid"/>
        <w:tblW w:w="0" w:type="auto"/>
        <w:tblLayout w:type="fixed"/>
        <w:tblLook w:val="04A0" w:firstRow="1" w:lastRow="0" w:firstColumn="0" w:lastColumn="0" w:noHBand="0" w:noVBand="1"/>
      </w:tblPr>
      <w:tblGrid>
        <w:gridCol w:w="1265"/>
        <w:gridCol w:w="1337"/>
        <w:gridCol w:w="1210"/>
        <w:gridCol w:w="1332"/>
        <w:gridCol w:w="1547"/>
        <w:gridCol w:w="1504"/>
        <w:gridCol w:w="1163"/>
      </w:tblGrid>
      <w:tr>
        <w:trPr>
          <w:tblHeader/>
        </w:trPr>
        <w:tc>
          <w:tcPr>
            <w:tcW w:w="1265" w:type="dxa"/>
            <w:shd w:val="clear" w:color="auto" w:fill="F2F2F2"/>
          </w:tcPr>
          <w:p>
            <w:pPr/>
            <w:r>
              <w:t xml:space="preserve">Age group</w:t>
            </w:r>
          </w:p>
        </w:tc>
        <w:tc>
          <w:tcPr>
            <w:tcW w:w="1337" w:type="dxa"/>
            <w:shd w:val="clear" w:color="auto" w:fill="F2F2F2"/>
          </w:tcPr>
          <w:p>
            <w:pPr/>
            <w:r>
              <w:t xml:space="preserve">Respondents</w:t>
            </w:r>
          </w:p>
        </w:tc>
        <w:tc>
          <w:tcPr>
            <w:tcW w:w="1210" w:type="dxa"/>
            <w:shd w:val="clear" w:color="auto" w:fill="F2F2F2"/>
          </w:tcPr>
          <w:p>
            <w:pPr/>
            <w:r>
              <w:t xml:space="preserve">Impulse (1 to 5)</w:t>
            </w:r>
          </w:p>
        </w:tc>
        <w:tc>
          <w:tcPr>
            <w:tcW w:w="1332" w:type="dxa"/>
            <w:shd w:val="clear" w:color="auto" w:fill="F2F2F2"/>
          </w:tcPr>
          <w:p>
            <w:pPr/>
            <w:r>
              <w:t xml:space="preserve">Buy after ad (1 to 5)</w:t>
            </w:r>
          </w:p>
        </w:tc>
        <w:tc>
          <w:tcPr>
            <w:tcW w:w="1547" w:type="dxa"/>
            <w:shd w:val="clear" w:color="auto" w:fill="F2F2F2"/>
          </w:tcPr>
          <w:p>
            <w:pPr/>
            <w:r>
              <w:t xml:space="preserve">Social ad influence (1 to 5)</w:t>
            </w:r>
          </w:p>
        </w:tc>
        <w:tc>
          <w:tcPr>
            <w:tcW w:w="1504" w:type="dxa"/>
            <w:shd w:val="clear" w:color="auto" w:fill="F2F2F2"/>
          </w:tcPr>
          <w:p>
            <w:pPr/>
            <w:r>
              <w:t xml:space="preserve">Trust in reviews (1 to 10)</w:t>
            </w:r>
          </w:p>
        </w:tc>
        <w:tc>
          <w:tcPr>
            <w:tcW w:w="1163" w:type="dxa"/>
            <w:shd w:val="clear" w:color="auto" w:fill="F2F2F2"/>
          </w:tcPr>
          <w:p>
            <w:pPr/>
            <w:r>
              <w:t xml:space="preserve">Regret (1 to 4)</w:t>
            </w:r>
          </w:p>
        </w:tc>
      </w:tr>
      <w:tr>
        <w:tc>
          <w:tcPr>
            <w:tcW w:w="1265" w:type="dxa"/>
          </w:tcPr>
          <w:p>
            <w:pPr/>
            <w:r>
              <w:t xml:space="preserve">Under 18</w:t>
            </w:r>
          </w:p>
        </w:tc>
        <w:tc>
          <w:tcPr>
            <w:tcW w:w="1337" w:type="dxa"/>
          </w:tcPr>
          <w:p>
            <w:pPr/>
            <w:r>
              <w:t xml:space="preserve">33</w:t>
            </w:r>
          </w:p>
        </w:tc>
        <w:tc>
          <w:tcPr>
            <w:tcW w:w="1210" w:type="dxa"/>
          </w:tcPr>
          <w:p>
            <w:pPr/>
            <w:r>
              <w:t xml:space="preserve">2.41</w:t>
            </w:r>
          </w:p>
        </w:tc>
        <w:tc>
          <w:tcPr>
            <w:tcW w:w="1332" w:type="dxa"/>
          </w:tcPr>
          <w:p>
            <w:pPr/>
            <w:r>
              <w:t xml:space="preserve">2.94</w:t>
            </w:r>
          </w:p>
        </w:tc>
        <w:tc>
          <w:tcPr>
            <w:tcW w:w="1547" w:type="dxa"/>
          </w:tcPr>
          <w:p>
            <w:pPr/>
            <w:r>
              <w:t xml:space="preserve">2.97</w:t>
            </w:r>
          </w:p>
        </w:tc>
        <w:tc>
          <w:tcPr>
            <w:tcW w:w="1504" w:type="dxa"/>
          </w:tcPr>
          <w:p>
            <w:pPr/>
            <w:r>
              <w:t xml:space="preserve">6.83</w:t>
            </w:r>
          </w:p>
        </w:tc>
        <w:tc>
          <w:tcPr>
            <w:tcW w:w="1163" w:type="dxa"/>
          </w:tcPr>
          <w:p>
            <w:pPr/>
            <w:r>
              <w:t xml:space="preserve">2.10</w:t>
            </w:r>
          </w:p>
        </w:tc>
      </w:tr>
      <w:tr>
        <w:tc>
          <w:tcPr>
            <w:tcW w:w="1265" w:type="dxa"/>
          </w:tcPr>
          <w:p>
            <w:pPr/>
            <w:r>
              <w:t xml:space="preserve">18 to 25</w:t>
            </w:r>
          </w:p>
        </w:tc>
        <w:tc>
          <w:tcPr>
            <w:tcW w:w="1337" w:type="dxa"/>
          </w:tcPr>
          <w:p>
            <w:pPr/>
            <w:r>
              <w:t xml:space="preserve">273</w:t>
            </w:r>
          </w:p>
        </w:tc>
        <w:tc>
          <w:tcPr>
            <w:tcW w:w="1210" w:type="dxa"/>
          </w:tcPr>
          <w:p>
            <w:pPr/>
            <w:r>
              <w:t xml:space="preserve">2.71</w:t>
            </w:r>
          </w:p>
        </w:tc>
        <w:tc>
          <w:tcPr>
            <w:tcW w:w="1332" w:type="dxa"/>
          </w:tcPr>
          <w:p>
            <w:pPr/>
            <w:r>
              <w:t xml:space="preserve">3.17</w:t>
            </w:r>
          </w:p>
        </w:tc>
        <w:tc>
          <w:tcPr>
            <w:tcW w:w="1547" w:type="dxa"/>
          </w:tcPr>
          <w:p>
            <w:pPr/>
            <w:r>
              <w:t xml:space="preserve">3.18</w:t>
            </w:r>
          </w:p>
        </w:tc>
        <w:tc>
          <w:tcPr>
            <w:tcW w:w="1504" w:type="dxa"/>
          </w:tcPr>
          <w:p>
            <w:pPr/>
            <w:r>
              <w:t xml:space="preserve">6.00</w:t>
            </w:r>
          </w:p>
        </w:tc>
        <w:tc>
          <w:tcPr>
            <w:tcW w:w="1163" w:type="dxa"/>
          </w:tcPr>
          <w:p>
            <w:pPr/>
            <w:r>
              <w:t xml:space="preserve">2.25</w:t>
            </w:r>
          </w:p>
        </w:tc>
      </w:tr>
      <w:tr>
        <w:tc>
          <w:tcPr>
            <w:tcW w:w="1265" w:type="dxa"/>
          </w:tcPr>
          <w:p>
            <w:pPr/>
            <w:r>
              <w:t xml:space="preserve">26 to 35</w:t>
            </w:r>
          </w:p>
        </w:tc>
        <w:tc>
          <w:tcPr>
            <w:tcW w:w="1337" w:type="dxa"/>
          </w:tcPr>
          <w:p>
            <w:pPr/>
            <w:r>
              <w:t xml:space="preserve">110</w:t>
            </w:r>
          </w:p>
        </w:tc>
        <w:tc>
          <w:tcPr>
            <w:tcW w:w="1210" w:type="dxa"/>
          </w:tcPr>
          <w:p>
            <w:pPr/>
            <w:r>
              <w:t xml:space="preserve">2.61</w:t>
            </w:r>
          </w:p>
        </w:tc>
        <w:tc>
          <w:tcPr>
            <w:tcW w:w="1332" w:type="dxa"/>
          </w:tcPr>
          <w:p>
            <w:pPr/>
            <w:r>
              <w:t xml:space="preserve">2.96</w:t>
            </w:r>
          </w:p>
        </w:tc>
        <w:tc>
          <w:tcPr>
            <w:tcW w:w="1547" w:type="dxa"/>
          </w:tcPr>
          <w:p>
            <w:pPr/>
            <w:r>
              <w:t xml:space="preserve">3.12</w:t>
            </w:r>
          </w:p>
        </w:tc>
        <w:tc>
          <w:tcPr>
            <w:tcW w:w="1504" w:type="dxa"/>
          </w:tcPr>
          <w:p>
            <w:pPr/>
            <w:r>
              <w:t xml:space="preserve">6.14</w:t>
            </w:r>
          </w:p>
        </w:tc>
        <w:tc>
          <w:tcPr>
            <w:tcW w:w="1163" w:type="dxa"/>
          </w:tcPr>
          <w:p>
            <w:pPr/>
            <w:r>
              <w:t xml:space="preserve">2.17</w:t>
            </w:r>
          </w:p>
        </w:tc>
      </w:tr>
      <w:tr>
        <w:tc>
          <w:tcPr>
            <w:tcW w:w="1265" w:type="dxa"/>
          </w:tcPr>
          <w:p>
            <w:pPr/>
            <w:r>
              <w:t xml:space="preserve">36 to 50</w:t>
            </w:r>
          </w:p>
        </w:tc>
        <w:tc>
          <w:tcPr>
            <w:tcW w:w="1337" w:type="dxa"/>
          </w:tcPr>
          <w:p>
            <w:pPr/>
            <w:r>
              <w:t xml:space="preserve">54</w:t>
            </w:r>
          </w:p>
        </w:tc>
        <w:tc>
          <w:tcPr>
            <w:tcW w:w="1210" w:type="dxa"/>
          </w:tcPr>
          <w:p>
            <w:pPr/>
            <w:r>
              <w:t xml:space="preserve">2.02</w:t>
            </w:r>
          </w:p>
        </w:tc>
        <w:tc>
          <w:tcPr>
            <w:tcW w:w="1332" w:type="dxa"/>
          </w:tcPr>
          <w:p>
            <w:pPr/>
            <w:r>
              <w:t xml:space="preserve">2.40</w:t>
            </w:r>
          </w:p>
        </w:tc>
        <w:tc>
          <w:tcPr>
            <w:tcW w:w="1547" w:type="dxa"/>
          </w:tcPr>
          <w:p>
            <w:pPr/>
            <w:r>
              <w:t xml:space="preserve">2.66</w:t>
            </w:r>
          </w:p>
        </w:tc>
        <w:tc>
          <w:tcPr>
            <w:tcW w:w="1504" w:type="dxa"/>
          </w:tcPr>
          <w:p>
            <w:pPr/>
            <w:r>
              <w:t xml:space="preserve">6.48</w:t>
            </w:r>
          </w:p>
        </w:tc>
        <w:tc>
          <w:tcPr>
            <w:tcW w:w="1163" w:type="dxa"/>
          </w:tcPr>
          <w:p>
            <w:pPr/>
            <w:r>
              <w:t xml:space="preserve">1.93</w:t>
            </w:r>
          </w:p>
        </w:tc>
      </w:tr>
    </w:tbl>
    <w:p>
      <w:pPr>
        <w:pStyle w:val="Heading3"/>
      </w:pPr>
      <w:r>
        <w:t xml:space="preserve">4.3 Money: income, spend, payments and BNPL</w:t>
      </w:r>
    </w:p>
    <w:p>
      <w:pPr>
        <w:pStyle w:val="ListParagraph"/>
        <w:numPr>
          <w:ilvl w:val="0"/>
          <w:numId w:val="3"/>
        </w:numPr>
      </w:pPr>
      <w:r>
        <w:rPr>
          <w:b/>
        </w:rPr>
        <w:t xml:space="preserve">Income drives spending</w:t>
      </w:r>
      <w:r>
        <w:t xml:space="preserve"> (rank correlation 0.52, p &lt; 0.001). 57% of the lowest income band (139 of 245) spend under $50 a month on non-essentials, against none of the $6,000+ band (0 of 34). In the top band, 8 of 34 (24%) spend $500 or more, against 2 of 245 (1%) in the lowest.</w:t>
      </w:r>
    </w:p>
    <w:p>
      <w:pPr>
        <w:pStyle w:val="ListParagraph"/>
        <w:numPr>
          <w:ilvl w:val="0"/>
          <w:numId w:val="3"/>
        </w:numPr>
      </w:pPr>
      <w:r>
        <w:rPr>
          <w:b/>
        </w:rPr>
        <w:t xml:space="preserve">High earners are happier.</w:t>
      </w:r>
      <w:r>
        <w:t xml:space="preserve"> Satisfaction is 7.76 for $6,000+ vs 7.09 for under $1,000 (p = 0.014, but only 33 high earners).</w:t>
      </w:r>
    </w:p>
    <w:p>
      <w:pPr>
        <w:pStyle w:val="ListParagraph"/>
        <w:numPr>
          <w:ilvl w:val="0"/>
          <w:numId w:val="3"/>
        </w:numPr>
      </w:pPr>
      <w:r>
        <w:rPr>
          <w:b/>
        </w:rPr>
        <w:t xml:space="preserve">Income does not change payment or device.</w:t>
      </w:r>
      <w:r>
        <w:t xml:space="preserve"> Credit card preference is 22% to 26% and smartphone use 63% to 66% in every band. Students and unemployed respondents are the lowest earners (71% and 83% under $1,000).</w:t>
      </w:r>
    </w:p>
    <w:p>
      <w:pPr>
        <w:pStyle w:val="ListParagraph"/>
        <w:numPr>
          <w:ilvl w:val="0"/>
          <w:numId w:val="3"/>
        </w:numPr>
      </w:pPr>
      <w:r>
        <w:rPr>
          <w:b/>
        </w:rPr>
        <w:t xml:space="preserve">BNPL is not income-driven.</w:t>
      </w:r>
      <w:r>
        <w:t xml:space="preserve"> Regular use is 6% in the $6,000+ band vs 11% to 14% elsewhere, and any BNPL use is similar across preferred payment methods (cash 41%, credit card 37%, debit card 39%, wallet 45%).</w:t>
      </w:r>
    </w:p>
    <w:p>
      <w:pPr>
        <w:pStyle w:val="ListParagraph"/>
        <w:numPr>
          <w:ilvl w:val="0"/>
          <w:numId w:val="3"/>
        </w:numPr>
      </w:pPr>
      <w:r>
        <w:rPr>
          <w:b/>
        </w:rPr>
        <w:t xml:space="preserve">Payment mix is the same in every channel</w:t>
      </w:r>
      <w:r>
        <w:t xml:space="preserve"> (p = 0.87): wallet 38%, debit card 27%, credit card 23%, cash 13%.</w:t>
      </w:r>
    </w:p>
    <w:p>
      <w:pPr/>
      <w:r>
        <w:t xml:space="preserve">Regular BNPL use varies by country, though each country has only 19 to 66 answers:</w:t>
      </w:r>
    </w:p>
    <w:tbl>
      <w:tblPr>
        <w:tblStyle w:val="TableGrid"/>
        <w:tblW w:w="0" w:type="auto"/>
        <w:tblLayout w:type="fixed"/>
        <w:tblLook w:val="04A0" w:firstRow="1" w:lastRow="0" w:firstColumn="0" w:lastColumn="0" w:noHBand="0" w:noVBand="1"/>
      </w:tblPr>
      <w:tblGrid>
        <w:gridCol w:w="2931"/>
        <w:gridCol w:w="2245"/>
        <w:gridCol w:w="4182"/>
      </w:tblGrid>
      <w:tr>
        <w:trPr>
          <w:tblHeader/>
        </w:trPr>
        <w:tc>
          <w:tcPr>
            <w:tcW w:w="2931" w:type="dxa"/>
            <w:shd w:val="clear" w:color="auto" w:fill="F2F2F2"/>
          </w:tcPr>
          <w:p>
            <w:pPr/>
            <w:r>
              <w:t xml:space="preserve">Country</w:t>
            </w:r>
          </w:p>
        </w:tc>
        <w:tc>
          <w:tcPr>
            <w:tcW w:w="2245" w:type="dxa"/>
            <w:shd w:val="clear" w:color="auto" w:fill="F2F2F2"/>
          </w:tcPr>
          <w:p>
            <w:pPr/>
            <w:r>
              <w:t xml:space="preserve">Answered</w:t>
            </w:r>
          </w:p>
        </w:tc>
        <w:tc>
          <w:tcPr>
            <w:tcW w:w="4182" w:type="dxa"/>
            <w:shd w:val="clear" w:color="auto" w:fill="F2F2F2"/>
          </w:tcPr>
          <w:p>
            <w:pPr/>
            <w:r>
              <w:t xml:space="preserve">Regular BNPL users</w:t>
            </w:r>
          </w:p>
        </w:tc>
      </w:tr>
      <w:tr>
        <w:tc>
          <w:tcPr>
            <w:tcW w:w="2931" w:type="dxa"/>
          </w:tcPr>
          <w:p>
            <w:pPr/>
            <w:r>
              <w:t xml:space="preserve">Kenya</w:t>
            </w:r>
          </w:p>
        </w:tc>
        <w:tc>
          <w:tcPr>
            <w:tcW w:w="2245" w:type="dxa"/>
          </w:tcPr>
          <w:p>
            <w:pPr/>
            <w:r>
              <w:t xml:space="preserve">25</w:t>
            </w:r>
          </w:p>
        </w:tc>
        <w:tc>
          <w:tcPr>
            <w:tcW w:w="4182" w:type="dxa"/>
          </w:tcPr>
          <w:p>
            <w:pPr/>
            <w:r>
              <w:t xml:space="preserve">28.0%</w:t>
            </w:r>
          </w:p>
        </w:tc>
      </w:tr>
      <w:tr>
        <w:tc>
          <w:tcPr>
            <w:tcW w:w="2931" w:type="dxa"/>
          </w:tcPr>
          <w:p>
            <w:pPr/>
            <w:r>
              <w:t xml:space="preserve">Brazil</w:t>
            </w:r>
          </w:p>
        </w:tc>
        <w:tc>
          <w:tcPr>
            <w:tcW w:w="2245" w:type="dxa"/>
          </w:tcPr>
          <w:p>
            <w:pPr/>
            <w:r>
              <w:t xml:space="preserve">34</w:t>
            </w:r>
          </w:p>
        </w:tc>
        <w:tc>
          <w:tcPr>
            <w:tcW w:w="4182" w:type="dxa"/>
          </w:tcPr>
          <w:p>
            <w:pPr/>
            <w:r>
              <w:t xml:space="preserve">20.6%</w:t>
            </w:r>
          </w:p>
        </w:tc>
      </w:tr>
      <w:tr>
        <w:tc>
          <w:tcPr>
            <w:tcW w:w="2931" w:type="dxa"/>
          </w:tcPr>
          <w:p>
            <w:pPr/>
            <w:r>
              <w:t xml:space="preserve">India</w:t>
            </w:r>
          </w:p>
        </w:tc>
        <w:tc>
          <w:tcPr>
            <w:tcW w:w="2245" w:type="dxa"/>
          </w:tcPr>
          <w:p>
            <w:pPr/>
            <w:r>
              <w:t xml:space="preserve">66</w:t>
            </w:r>
          </w:p>
        </w:tc>
        <w:tc>
          <w:tcPr>
            <w:tcW w:w="4182" w:type="dxa"/>
          </w:tcPr>
          <w:p>
            <w:pPr/>
            <w:r>
              <w:t xml:space="preserve">18.2%</w:t>
            </w:r>
          </w:p>
        </w:tc>
      </w:tr>
      <w:tr>
        <w:tc>
          <w:tcPr>
            <w:tcW w:w="2931" w:type="dxa"/>
          </w:tcPr>
          <w:p>
            <w:pPr/>
            <w:r>
              <w:t xml:space="preserve">Mexico</w:t>
            </w:r>
          </w:p>
        </w:tc>
        <w:tc>
          <w:tcPr>
            <w:tcW w:w="2245" w:type="dxa"/>
          </w:tcPr>
          <w:p>
            <w:pPr/>
            <w:r>
              <w:t xml:space="preserve">32</w:t>
            </w:r>
          </w:p>
        </w:tc>
        <w:tc>
          <w:tcPr>
            <w:tcW w:w="4182" w:type="dxa"/>
          </w:tcPr>
          <w:p>
            <w:pPr/>
            <w:r>
              <w:t xml:space="preserve">9.4%</w:t>
            </w:r>
          </w:p>
        </w:tc>
      </w:tr>
      <w:tr>
        <w:tc>
          <w:tcPr>
            <w:tcW w:w="2931" w:type="dxa"/>
          </w:tcPr>
          <w:p>
            <w:pPr/>
            <w:r>
              <w:t xml:space="preserve">Philippines</w:t>
            </w:r>
          </w:p>
        </w:tc>
        <w:tc>
          <w:tcPr>
            <w:tcW w:w="2245" w:type="dxa"/>
          </w:tcPr>
          <w:p>
            <w:pPr/>
            <w:r>
              <w:t xml:space="preserve">22</w:t>
            </w:r>
          </w:p>
        </w:tc>
        <w:tc>
          <w:tcPr>
            <w:tcW w:w="4182" w:type="dxa"/>
          </w:tcPr>
          <w:p>
            <w:pPr/>
            <w:r>
              <w:t xml:space="preserve">9.1%</w:t>
            </w:r>
          </w:p>
        </w:tc>
      </w:tr>
      <w:tr>
        <w:tc>
          <w:tcPr>
            <w:tcW w:w="2931" w:type="dxa"/>
          </w:tcPr>
          <w:p>
            <w:pPr/>
            <w:r>
              <w:t xml:space="preserve">United States</w:t>
            </w:r>
          </w:p>
        </w:tc>
        <w:tc>
          <w:tcPr>
            <w:tcW w:w="2245" w:type="dxa"/>
          </w:tcPr>
          <w:p>
            <w:pPr/>
            <w:r>
              <w:t xml:space="preserve">55</w:t>
            </w:r>
          </w:p>
        </w:tc>
        <w:tc>
          <w:tcPr>
            <w:tcW w:w="4182" w:type="dxa"/>
          </w:tcPr>
          <w:p>
            <w:pPr/>
            <w:r>
              <w:t xml:space="preserve">5.5%</w:t>
            </w:r>
          </w:p>
        </w:tc>
      </w:tr>
      <w:tr>
        <w:tc>
          <w:tcPr>
            <w:tcW w:w="2931" w:type="dxa"/>
          </w:tcPr>
          <w:p>
            <w:pPr/>
            <w:r>
              <w:t xml:space="preserve">Egypt</w:t>
            </w:r>
          </w:p>
        </w:tc>
        <w:tc>
          <w:tcPr>
            <w:tcW w:w="2245" w:type="dxa"/>
          </w:tcPr>
          <w:p>
            <w:pPr/>
            <w:r>
              <w:t xml:space="preserve">24</w:t>
            </w:r>
          </w:p>
        </w:tc>
        <w:tc>
          <w:tcPr>
            <w:tcW w:w="4182" w:type="dxa"/>
          </w:tcPr>
          <w:p>
            <w:pPr/>
            <w:r>
              <w:t xml:space="preserve">4.2% (1 person)</w:t>
            </w:r>
          </w:p>
        </w:tc>
      </w:tr>
      <w:tr>
        <w:tc>
          <w:tcPr>
            <w:tcW w:w="2931" w:type="dxa"/>
          </w:tcPr>
          <w:p>
            <w:pPr/>
            <w:r>
              <w:t xml:space="preserve">Vietnam</w:t>
            </w:r>
          </w:p>
        </w:tc>
        <w:tc>
          <w:tcPr>
            <w:tcW w:w="2245" w:type="dxa"/>
          </w:tcPr>
          <w:p>
            <w:pPr/>
            <w:r>
              <w:t xml:space="preserve">19</w:t>
            </w:r>
          </w:p>
        </w:tc>
        <w:tc>
          <w:tcPr>
            <w:tcW w:w="4182" w:type="dxa"/>
          </w:tcPr>
          <w:p>
            <w:pPr/>
            <w:r>
              <w:t xml:space="preserve">0%</w:t>
            </w:r>
          </w:p>
        </w:tc>
      </w:tr>
    </w:tbl>
    <w:p>
      <w:pPr>
        <w:pStyle w:val="Heading3"/>
      </w:pPr>
      <w:r>
        <w:t xml:space="preserve">4.4 Channel, reviews and categories</w:t>
      </w:r>
    </w:p>
    <w:p>
      <w:pPr>
        <w:pStyle w:val="ListParagraph"/>
        <w:numPr>
          <w:ilvl w:val="0"/>
          <w:numId w:val="4"/>
        </w:numPr>
      </w:pPr>
      <w:r>
        <w:rPr>
          <w:b/>
        </w:rPr>
        <w:t xml:space="preserve">Best mode follows habit.</w:t>
      </w:r>
      <w:r>
        <w:t xml:space="preserve"> In-store-only shoppers pick offline 72% of the time and never online; online-only shoppers pick online 79% and never offline. The 248 equal-mix shoppers split: online 32%, offline 26%, both 29%, and 12% did not answer. They are the swing group.</w:t>
      </w:r>
    </w:p>
    <w:p>
      <w:pPr>
        <w:pStyle w:val="ListParagraph"/>
        <w:numPr>
          <w:ilvl w:val="0"/>
          <w:numId w:val="4"/>
        </w:numPr>
      </w:pPr>
      <w:r>
        <w:rPr>
          <w:b/>
        </w:rPr>
        <w:t xml:space="preserve">Stated reasons barely change the verdict.</w:t>
      </w:r>
      <w:r>
        <w:t xml:space="preserve"> Among those preferring online for variety, 49% name online best; among those preferring it for better prices, 44% do.</w:t>
      </w:r>
    </w:p>
    <w:p>
      <w:pPr>
        <w:pStyle w:val="ListParagraph"/>
        <w:numPr>
          <w:ilvl w:val="0"/>
          <w:numId w:val="4"/>
        </w:numPr>
      </w:pPr>
      <w:r>
        <w:rPr>
          <w:b/>
        </w:rPr>
        <w:t xml:space="preserve">Occupation (directional).</w:t>
      </w:r>
      <w:r>
        <w:t xml:space="preserve"> Part-time workers (41%) and unemployed respondents (41%, only 19 people) pick offline more often than full-time workers (22%) or students (22%).</w:t>
      </w:r>
    </w:p>
    <w:p>
      <w:pPr>
        <w:pStyle w:val="ListParagraph"/>
        <w:numPr>
          <w:ilvl w:val="0"/>
          <w:numId w:val="4"/>
        </w:numPr>
      </w:pPr>
      <w:r>
        <w:rPr>
          <w:b/>
        </w:rPr>
        <w:t xml:space="preserve">Few follow brands.</w:t>
      </w:r>
      <w:r>
        <w:t xml:space="preserve"> Only 18% follow brands on social media. Followers show higher likelihood to buy after an ad (3.47 vs 2.92) and higher social ad influence (3.38 vs 3.02), so they are a warmer audience (directional).</w:t>
      </w:r>
    </w:p>
    <w:p>
      <w:pPr>
        <w:pStyle w:val="ListParagraph"/>
        <w:numPr>
          <w:ilvl w:val="0"/>
          <w:numId w:val="4"/>
        </w:numPr>
      </w:pPr>
      <w:r>
        <w:rPr>
          <w:b/>
        </w:rPr>
        <w:t xml:space="preserve">Reviews are used more than trusted.</w:t>
      </w:r>
      <w:r>
        <w:t xml:space="preserve"> 36% rate review influence 4 or 5, yet trust does not rise with it (rank correlation -0.08, p = 0.08). Average trust slips from 6.59 at influence 1 to 5.69 at influence 5.</w:t>
      </w:r>
    </w:p>
    <w:p>
      <w:pPr>
        <w:pStyle w:val="ListParagraph"/>
        <w:numPr>
          <w:ilvl w:val="0"/>
          <w:numId w:val="4"/>
        </w:numPr>
      </w:pPr>
      <w:r>
        <w:rPr>
          <w:b/>
        </w:rPr>
        <w:t xml:space="preserve">Platform use is even.</w:t>
      </w:r>
      <w:r>
        <w:t xml:space="preserve"> Global marketplace 29%, local e-commerce 29%, brand websites 23%, physical stores 19%.</w:t>
      </w:r>
    </w:p>
    <w:p>
      <w:pPr>
        <w:pStyle w:val="ListParagraph"/>
        <w:numPr>
          <w:ilvl w:val="0"/>
          <w:numId w:val="4"/>
        </w:numPr>
      </w:pPr>
      <w:r>
        <w:rPr>
          <w:b/>
        </w:rPr>
        <w:t xml:space="preserve">Returns are flat across categories.</w:t>
      </w:r>
      <w:r>
        <w:t xml:space="preserve"> The share returning 'Often' ranges from 15% (clothing, beauty) to 19% (books). Overall, 39% never return, 44% sometimes, 17% often, so clothing, the largest category, is not the returns problem here.</w:t>
      </w:r>
    </w:p>
    <w:p>
      <w:pPr>
        <w:pStyle w:val="Heading3"/>
      </w:pPr>
      <w:r>
        <w:t xml:space="preserve">4.5 When people answered</w:t>
      </w:r>
    </w:p>
    <w:p>
      <w:pPr/>
      <w:r>
        <w:t xml:space="preserve">Responses came in at 97 in June (from the 20th), 208 in July and 195 in August (to the 24th). Tuesday (85) and Saturday (82) were busiest and Friday (60) quietest. Time of day was even (afternoon 144, evening 136, night 112, morning 108), so there is no strong timing pattern.</w:t>
      </w:r>
    </w:p>
    <w:p>
      <w:pPr>
        <w:pStyle w:val="Heading3"/>
      </w:pPr>
      <w:r>
        <w:t xml:space="preserve">4.6 What the data says does not matter</w:t>
      </w:r>
    </w:p>
    <w:p>
      <w:pPr/>
      <w:r>
        <w:t xml:space="preserve">These comparisons showed no significant difference: satisfaction by country (p = 0.29) and by age (p = 0.30), payment method by shopping mode (p = 0.87), discount importance by shopping mode (p = 0.50), top category by gender (p = 0.49), impulse buying by occupation overall (p = 0.20) and impulse buying by shopping-list use (p = 0.86). Part-time workers score highest on impulse buying (2.86 vs 2.55 for everyone else), but that gap is borderline (p = 0.04) among many comparisons.</w:t>
      </w:r>
    </w:p>
    <w:p>
      <w:pPr>
        <w:pStyle w:val="Heading2"/>
      </w:pPr>
      <w:r>
        <w:t xml:space="preserve">5. Customer personas</w:t>
      </w:r>
    </w:p>
    <w:p>
      <w:pPr/>
      <w:r>
        <w:t xml:space="preserve">Three groups emerge when shoppers are clustered on influence, price comparison and impulse scores (384 respondents with complete answers). The separation is weak (silhouette 0.18), so treat these as sketches, not hard segments.</w:t>
      </w:r>
    </w:p>
    <w:tbl>
      <w:tblPr>
        <w:tblStyle w:val="TableGrid"/>
        <w:tblW w:w="0" w:type="auto"/>
        <w:tblLayout w:type="fixed"/>
        <w:tblLook w:val="04A0" w:firstRow="1" w:lastRow="0" w:firstColumn="0" w:lastColumn="0" w:noHBand="0" w:noVBand="1"/>
      </w:tblPr>
      <w:tblGrid>
        <w:gridCol w:w="1312"/>
        <w:gridCol w:w="1273"/>
        <w:gridCol w:w="2433"/>
        <w:gridCol w:w="1067"/>
        <w:gridCol w:w="909"/>
        <w:gridCol w:w="994"/>
        <w:gridCol w:w="1371"/>
      </w:tblGrid>
      <w:tr>
        <w:trPr>
          <w:tblHeader/>
        </w:trPr>
        <w:tc>
          <w:tcPr>
            <w:tcW w:w="1312" w:type="dxa"/>
            <w:shd w:val="clear" w:color="auto" w:fill="F2F2F2"/>
          </w:tcPr>
          <w:p>
            <w:pPr/>
            <w:r>
              <w:t xml:space="preserve">Persona</w:t>
            </w:r>
          </w:p>
        </w:tc>
        <w:tc>
          <w:tcPr>
            <w:tcW w:w="1273" w:type="dxa"/>
            <w:shd w:val="clear" w:color="auto" w:fill="F2F2F2"/>
          </w:tcPr>
          <w:p>
            <w:pPr/>
            <w:r>
              <w:t xml:space="preserve">Share</w:t>
            </w:r>
          </w:p>
        </w:tc>
        <w:tc>
          <w:tcPr>
            <w:tcW w:w="2433" w:type="dxa"/>
            <w:shd w:val="clear" w:color="auto" w:fill="F2F2F2"/>
          </w:tcPr>
          <w:p>
            <w:pPr/>
            <w:r>
              <w:t xml:space="preserve">Defining scores (1 to 5)</w:t>
            </w:r>
          </w:p>
        </w:tc>
        <w:tc>
          <w:tcPr>
            <w:tcW w:w="1067" w:type="dxa"/>
            <w:shd w:val="clear" w:color="auto" w:fill="F2F2F2"/>
          </w:tcPr>
          <w:p>
            <w:pPr/>
            <w:r>
              <w:t xml:space="preserve">Average age</w:t>
            </w:r>
          </w:p>
        </w:tc>
        <w:tc>
          <w:tcPr>
            <w:tcW w:w="909" w:type="dxa"/>
            <w:shd w:val="clear" w:color="auto" w:fill="F2F2F2"/>
          </w:tcPr>
          <w:p>
            <w:pPr/>
            <w:r>
              <w:t xml:space="preserve">Regret</w:t>
            </w:r>
          </w:p>
        </w:tc>
        <w:tc>
          <w:tcPr>
            <w:tcW w:w="994" w:type="dxa"/>
            <w:shd w:val="clear" w:color="auto" w:fill="F2F2F2"/>
          </w:tcPr>
          <w:p>
            <w:pPr/>
            <w:r>
              <w:t xml:space="preserve">Follow brands</w:t>
            </w:r>
          </w:p>
        </w:tc>
        <w:tc>
          <w:tcPr>
            <w:tcW w:w="1371" w:type="dxa"/>
            <w:shd w:val="clear" w:color="auto" w:fill="F2F2F2"/>
          </w:tcPr>
          <w:p>
            <w:pPr/>
            <w:r>
              <w:t xml:space="preserve">Best play</w:t>
            </w:r>
          </w:p>
        </w:tc>
      </w:tr>
      <w:tr>
        <w:tc>
          <w:tcPr>
            <w:tcW w:w="1312" w:type="dxa"/>
          </w:tcPr>
          <w:p>
            <w:pPr/>
            <w:r>
              <w:t xml:space="preserve">Rational comparers</w:t>
            </w:r>
          </w:p>
        </w:tc>
        <w:tc>
          <w:tcPr>
            <w:tcW w:w="1273" w:type="dxa"/>
          </w:tcPr>
          <w:p>
            <w:pPr/>
            <w:r>
              <w:t xml:space="preserve">44% (167)</w:t>
            </w:r>
          </w:p>
        </w:tc>
        <w:tc>
          <w:tcPr>
            <w:tcW w:w="2433" w:type="dxa"/>
          </w:tcPr>
          <w:p>
            <w:pPr/>
            <w:r>
              <w:t xml:space="preserve">Price comparison 4.50; ad influence 2.33; review influence 2.38; impulse 2.08</w:t>
            </w:r>
          </w:p>
        </w:tc>
        <w:tc>
          <w:tcPr>
            <w:tcW w:w="1067" w:type="dxa"/>
          </w:tcPr>
          <w:p>
            <w:pPr/>
            <w:r>
              <w:t xml:space="preserve">26.6</w:t>
            </w:r>
          </w:p>
        </w:tc>
        <w:tc>
          <w:tcPr>
            <w:tcW w:w="909" w:type="dxa"/>
          </w:tcPr>
          <w:p>
            <w:pPr/>
            <w:r>
              <w:t xml:space="preserve">2.08</w:t>
            </w:r>
          </w:p>
        </w:tc>
        <w:tc>
          <w:tcPr>
            <w:tcW w:w="994" w:type="dxa"/>
          </w:tcPr>
          <w:p>
            <w:pPr/>
            <w:r>
              <w:t xml:space="preserve">14%</w:t>
            </w:r>
          </w:p>
        </w:tc>
        <w:tc>
          <w:tcPr>
            <w:tcW w:w="1371" w:type="dxa"/>
          </w:tcPr>
          <w:p>
            <w:pPr/>
            <w:r>
              <w:t xml:space="preserve">Price transparency, reviews, loyalty offers</w:t>
            </w:r>
          </w:p>
        </w:tc>
      </w:tr>
      <w:tr>
        <w:tc>
          <w:tcPr>
            <w:tcW w:w="1312" w:type="dxa"/>
          </w:tcPr>
          <w:p>
            <w:pPr/>
            <w:r>
              <w:t xml:space="preserve">Influenced impulse buyers</w:t>
            </w:r>
          </w:p>
        </w:tc>
        <w:tc>
          <w:tcPr>
            <w:tcW w:w="1273" w:type="dxa"/>
          </w:tcPr>
          <w:p>
            <w:pPr/>
            <w:r>
              <w:t xml:space="preserve">38% (146)</w:t>
            </w:r>
          </w:p>
        </w:tc>
        <w:tc>
          <w:tcPr>
            <w:tcW w:w="2433" w:type="dxa"/>
          </w:tcPr>
          <w:p>
            <w:pPr/>
            <w:r>
              <w:t xml:space="preserve">Social ads 3.98; reviews 3.82; buy after ad 3.81; price comparison 4.47; impulse 3.16</w:t>
            </w:r>
          </w:p>
        </w:tc>
        <w:tc>
          <w:tcPr>
            <w:tcW w:w="1067" w:type="dxa"/>
          </w:tcPr>
          <w:p>
            <w:pPr/>
            <w:r>
              <w:t xml:space="preserve">23.5</w:t>
            </w:r>
          </w:p>
        </w:tc>
        <w:tc>
          <w:tcPr>
            <w:tcW w:w="909" w:type="dxa"/>
          </w:tcPr>
          <w:p>
            <w:pPr/>
            <w:r>
              <w:t xml:space="preserve">2.35</w:t>
            </w:r>
          </w:p>
        </w:tc>
        <w:tc>
          <w:tcPr>
            <w:tcW w:w="994" w:type="dxa"/>
          </w:tcPr>
          <w:p>
            <w:pPr/>
            <w:r>
              <w:t xml:space="preserve">29%</w:t>
            </w:r>
          </w:p>
        </w:tc>
        <w:tc>
          <w:tcPr>
            <w:tcW w:w="1371" w:type="dxa"/>
          </w:tcPr>
          <w:p>
            <w:pPr/>
            <w:r>
              <w:t xml:space="preserve">Social ads with social proof, plus easy returns</w:t>
            </w:r>
          </w:p>
        </w:tc>
      </w:tr>
      <w:tr>
        <w:tc>
          <w:tcPr>
            <w:tcW w:w="1312" w:type="dxa"/>
          </w:tcPr>
          <w:p>
            <w:pPr/>
            <w:r>
              <w:t xml:space="preserve">Casual shoppers</w:t>
            </w:r>
          </w:p>
        </w:tc>
        <w:tc>
          <w:tcPr>
            <w:tcW w:w="1273" w:type="dxa"/>
          </w:tcPr>
          <w:p>
            <w:pPr/>
            <w:r>
              <w:t xml:space="preserve">18% (71)</w:t>
            </w:r>
          </w:p>
        </w:tc>
        <w:tc>
          <w:tcPr>
            <w:tcW w:w="2433" w:type="dxa"/>
          </w:tcPr>
          <w:p>
            <w:pPr/>
            <w:r>
              <w:t xml:space="preserve">Influence scores about 3.0; price comparison 2.63; impulse 2.66</w:t>
            </w:r>
          </w:p>
        </w:tc>
        <w:tc>
          <w:tcPr>
            <w:tcW w:w="1067" w:type="dxa"/>
          </w:tcPr>
          <w:p>
            <w:pPr/>
            <w:r>
              <w:t xml:space="preserve">24.6</w:t>
            </w:r>
          </w:p>
        </w:tc>
        <w:tc>
          <w:tcPr>
            <w:tcW w:w="909" w:type="dxa"/>
          </w:tcPr>
          <w:p>
            <w:pPr/>
            <w:r>
              <w:t xml:space="preserve">2.27</w:t>
            </w:r>
          </w:p>
        </w:tc>
        <w:tc>
          <w:tcPr>
            <w:tcW w:w="994" w:type="dxa"/>
          </w:tcPr>
          <w:p>
            <w:pPr/>
            <w:r>
              <w:t xml:space="preserve">7%</w:t>
            </w:r>
          </w:p>
        </w:tc>
        <w:tc>
          <w:tcPr>
            <w:tcW w:w="1371" w:type="dxa"/>
          </w:tcPr>
          <w:p>
            <w:pPr/>
            <w:r>
              <w:t xml:space="preserve">Simple discovery and checkout</w:t>
            </w:r>
          </w:p>
        </w:tc>
      </w:tr>
    </w:tbl>
    <w:p>
      <w:pPr/>
      <w:r>
        <w:t xml:space="preserve">Influenced impulse buyers compare prices as often as rational comparers but buy on impulse far more, so discount messaging alone will not separate them. Ages 36 to 50 make up 18% of rational comparers but only 6% to 7% of the other groups.</w:t>
      </w:r>
    </w:p>
    <w:p>
      <w:pPr>
        <w:pStyle w:val="Heading2"/>
      </w:pPr>
      <w:r>
        <w:t xml:space="preserve">6. Recommendations</w:t>
      </w:r>
    </w:p>
    <w:p>
      <w:pPr/>
      <w:r>
        <w:rPr>
          <w:b/>
        </w:rPr>
        <w:t xml:space="preserve">For the business</w:t>
      </w:r>
    </w:p>
    <w:p>
      <w:pPr>
        <w:pStyle w:val="ListParagraph"/>
        <w:numPr>
          <w:ilvl w:val="0"/>
          <w:numId w:val="5"/>
        </w:numPr>
      </w:pPr>
      <w:r>
        <w:t xml:space="preserve">Design for the mixed shopper, who is half the market: consistent price, stock and returns online and in store.</w:t>
      </w:r>
    </w:p>
    <w:p>
      <w:pPr>
        <w:pStyle w:val="ListParagraph"/>
        <w:numPr>
          <w:ilvl w:val="0"/>
          <w:numId w:val="5"/>
        </w:numPr>
      </w:pPr>
      <w:r>
        <w:t xml:space="preserve">Lead online messaging with range and convenience; lead in-store with try-before-you-buy, click-and-collect and fast delivery.</w:t>
      </w:r>
    </w:p>
    <w:p>
      <w:pPr>
        <w:pStyle w:val="ListParagraph"/>
        <w:numPr>
          <w:ilvl w:val="0"/>
          <w:numId w:val="5"/>
        </w:numPr>
      </w:pPr>
      <w:r>
        <w:t xml:space="preserve">Split advertising by segment: social-proof ads for under-36s and influenced impulse buyers; reviews and comparison content for ages 36 to 50 and rational comparers.</w:t>
      </w:r>
    </w:p>
    <w:p>
      <w:pPr>
        <w:pStyle w:val="ListParagraph"/>
        <w:numPr>
          <w:ilvl w:val="0"/>
          <w:numId w:val="5"/>
        </w:numPr>
      </w:pPr>
      <w:r>
        <w:t xml:space="preserve">Reduce regret where it starts: easy returns and clear order confirmation for impulse-prone shoppers. Do not assume shopping lists curb impulse buying.</w:t>
      </w:r>
    </w:p>
    <w:p>
      <w:pPr>
        <w:pStyle w:val="ListParagraph"/>
        <w:numPr>
          <w:ilvl w:val="0"/>
          <w:numId w:val="5"/>
        </w:numPr>
      </w:pPr>
      <w:r>
        <w:t xml:space="preserve">Support digital wallets in every channel, add BNPL where regular use is highest (Kenya, Brazil, India), and design mobile-first (64% use a smartphone).</w:t>
      </w:r>
    </w:p>
    <w:p>
      <w:pPr>
        <w:pStyle w:val="ListParagraph"/>
        <w:numPr>
          <w:ilvl w:val="0"/>
          <w:numId w:val="5"/>
        </w:numPr>
      </w:pPr>
      <w:r>
        <w:t xml:space="preserve">Invest in verified reviews, since heavy review users trust them least.</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Consumer Shopping Behaviour Survey Analysis Review and Business Report</dc:title>
  <dc:description>Claude Docs node/3ce45254-cbaa@6 docx-w7</dc:description>
  <cp:revision>6</cp:revision>
</cp:coreProperties>
</file>