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CART ABANDONMENT ANALYSIS</w:t>
      </w:r>
    </w:p>
    <w:p>
      <w:pPr>
        <w:jc w:val="center"/>
      </w:pPr>
      <w:r>
        <w:rPr>
          <w:color w:val="2F5597"/>
          <w:sz w:val="30"/>
        </w:rPr>
        <w:t>Final Business Insights &amp; Recommendations</w:t>
      </w:r>
    </w:p>
    <w:p/>
    <w:p>
      <w:pPr>
        <w:pStyle w:val="Heading1"/>
      </w:pPr>
      <w:r>
        <w:t>1. Executive Summary</w:t>
      </w:r>
    </w:p>
    <w:p>
      <w:r>
        <w:t>This project examines customer shopping behavior to understand cart abandonment and identify areas for further business investigation. The dataset contains 38,172 records: 19,076 abandoned carts (49.97%) and 19,096 completed purchases (50.03%). The near-even split indicates that abandonment is a meaningful issue to investigate, but the available variables do not identify one clearly dominant cause.</w:t>
      </w:r>
    </w:p>
    <w:p>
      <w:r>
        <w:t>The strongest conclusion is that abandonment is widespread across many customer groups. Device, traffic source, payment method, product category, cart value, discount, shipping cost, session duration, and previous purchases show only modest differences in the reported comparisons. These patterns should be treated as descriptive findings rather than proof of causation.</w:t>
      </w:r>
    </w:p>
    <w:p>
      <w:pPr>
        <w:pStyle w:val="Heading1"/>
      </w:pPr>
      <w:r>
        <w:t>2. Overall Cart Outcomes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sz w:val="18"/>
              </w:rPr>
              <w:t>Cart outcome</w:t>
            </w:r>
          </w:p>
        </w:tc>
        <w:tc>
          <w:tcPr>
            <w:tcW w:type="dxa" w:w="3312"/>
            <w:shd w:fill="17365D"/>
          </w:tcPr>
          <w:p>
            <w:r>
              <w:rPr>
                <w:b/>
                <w:color w:val="FFFFFF"/>
                <w:sz w:val="18"/>
              </w:rPr>
              <w:t>Records</w:t>
            </w:r>
          </w:p>
        </w:tc>
        <w:tc>
          <w:tcPr>
            <w:tcW w:type="dxa" w:w="3312"/>
            <w:shd w:fill="17365D"/>
          </w:tcPr>
          <w:p>
            <w:r>
              <w:rPr>
                <w:b/>
                <w:color w:val="FFFFFF"/>
                <w:sz w:val="18"/>
              </w:rPr>
              <w:t>Share</w:t>
            </w:r>
          </w:p>
        </w:tc>
      </w:tr>
      <w:tr>
        <w:tc>
          <w:tcPr>
            <w:tcW w:type="dxa" w:w="3312"/>
          </w:tcPr>
          <w:p>
            <w:r>
              <w:rPr>
                <w:sz w:val="18"/>
              </w:rPr>
              <w:t>Abandoned</w:t>
            </w:r>
          </w:p>
        </w:tc>
        <w:tc>
          <w:tcPr>
            <w:tcW w:type="dxa" w:w="3312"/>
          </w:tcPr>
          <w:p>
            <w:r>
              <w:rPr>
                <w:sz w:val="18"/>
              </w:rPr>
              <w:t>19,076</w:t>
            </w:r>
          </w:p>
        </w:tc>
        <w:tc>
          <w:tcPr>
            <w:tcW w:type="dxa" w:w="3312"/>
          </w:tcPr>
          <w:p>
            <w:r>
              <w:rPr>
                <w:sz w:val="18"/>
              </w:rPr>
              <w:t>49.97%</w:t>
            </w:r>
          </w:p>
        </w:tc>
      </w:tr>
      <w:tr>
        <w:tc>
          <w:tcPr>
            <w:tcW w:type="dxa" w:w="3312"/>
          </w:tcPr>
          <w:p>
            <w:r>
              <w:rPr>
                <w:sz w:val="18"/>
              </w:rPr>
              <w:t>Completed</w:t>
            </w:r>
          </w:p>
        </w:tc>
        <w:tc>
          <w:tcPr>
            <w:tcW w:type="dxa" w:w="3312"/>
          </w:tcPr>
          <w:p>
            <w:r>
              <w:rPr>
                <w:sz w:val="18"/>
              </w:rPr>
              <w:t>19,096</w:t>
            </w:r>
          </w:p>
        </w:tc>
        <w:tc>
          <w:tcPr>
            <w:tcW w:type="dxa" w:w="3312"/>
          </w:tcPr>
          <w:p>
            <w:r>
              <w:rPr>
                <w:sz w:val="18"/>
              </w:rPr>
              <w:t>50.03%</w:t>
            </w:r>
          </w:p>
        </w:tc>
      </w:tr>
      <w:tr>
        <w:tc>
          <w:tcPr>
            <w:tcW w:type="dxa" w:w="3312"/>
          </w:tcPr>
          <w:p>
            <w:r>
              <w:rPr>
                <w:sz w:val="18"/>
              </w:rPr>
              <w:t>Total</w:t>
            </w:r>
          </w:p>
        </w:tc>
        <w:tc>
          <w:tcPr>
            <w:tcW w:type="dxa" w:w="3312"/>
          </w:tcPr>
          <w:p>
            <w:r>
              <w:rPr>
                <w:sz w:val="18"/>
              </w:rPr>
              <w:t>38,172</w:t>
            </w:r>
          </w:p>
        </w:tc>
        <w:tc>
          <w:tcPr>
            <w:tcW w:type="dxa" w:w="3312"/>
          </w:tcPr>
          <w:p>
            <w:r>
              <w:rPr>
                <w:sz w:val="18"/>
              </w:rPr>
              <w:t>100.00%</w:t>
            </w:r>
          </w:p>
        </w:tc>
      </w:tr>
    </w:tbl>
    <w:p/>
    <w:p>
      <w:r>
        <w:t>Business insight: Approximately one in every two records is marked as abandoned. This highlights an opportunity to investigate the checkout journey. An abandoned cart does not necessarily represent a permanently lost sale; some customers may return later or may have been comparing products.</w:t>
      </w:r>
    </w:p>
    <w:p>
      <w:pPr>
        <w:pStyle w:val="Heading2"/>
      </w:pPr>
      <w:r>
        <w:t>Recommended actions</w:t>
      </w:r>
    </w:p>
    <w:p>
      <w:pPr>
        <w:pStyle w:val="ListBullet"/>
      </w:pPr>
      <w:r>
        <w:t>Simplify checkout forms and remove unnecessary steps.</w:t>
      </w:r>
    </w:p>
    <w:p>
      <w:pPr>
        <w:pStyle w:val="ListBullet"/>
      </w:pPr>
      <w:r>
        <w:t>Show the complete payable amount, including shipping and applicable fees, before the final payment step.</w:t>
      </w:r>
    </w:p>
    <w:p>
      <w:pPr>
        <w:pStyle w:val="ListBullet"/>
      </w:pPr>
      <w:r>
        <w:t>Make delivery estimates, returns, and payment options easy to find.</w:t>
      </w:r>
    </w:p>
    <w:p>
      <w:pPr>
        <w:pStyle w:val="ListBullet"/>
      </w:pPr>
      <w:r>
        <w:t>Test consent-based abandoned-cart reminders and measure incremental recovered orders.</w:t>
      </w:r>
    </w:p>
    <w:p>
      <w:pPr>
        <w:pStyle w:val="Heading1"/>
      </w:pPr>
      <w:r>
        <w:t>3. Device-wise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Device</w:t>
            </w:r>
          </w:p>
        </w:tc>
        <w:tc>
          <w:tcPr>
            <w:tcW w:type="dxa" w:w="4968"/>
            <w:shd w:fill="17365D"/>
          </w:tcPr>
          <w:p>
            <w:r>
              <w:rPr>
                <w:b/>
                <w:color w:val="FFFFFF"/>
                <w:sz w:val="18"/>
              </w:rPr>
              <w:t>Abandonment rate</w:t>
            </w:r>
          </w:p>
        </w:tc>
      </w:tr>
      <w:tr>
        <w:tc>
          <w:tcPr>
            <w:tcW w:type="dxa" w:w="4968"/>
          </w:tcPr>
          <w:p>
            <w:r>
              <w:rPr>
                <w:sz w:val="18"/>
              </w:rPr>
              <w:t>Desktop</w:t>
            </w:r>
          </w:p>
        </w:tc>
        <w:tc>
          <w:tcPr>
            <w:tcW w:type="dxa" w:w="4968"/>
          </w:tcPr>
          <w:p>
            <w:r>
              <w:rPr>
                <w:sz w:val="18"/>
              </w:rPr>
              <w:t>50.1%</w:t>
            </w:r>
          </w:p>
        </w:tc>
      </w:tr>
      <w:tr>
        <w:tc>
          <w:tcPr>
            <w:tcW w:type="dxa" w:w="4968"/>
          </w:tcPr>
          <w:p>
            <w:r>
              <w:rPr>
                <w:sz w:val="18"/>
              </w:rPr>
              <w:t>Mobile</w:t>
            </w:r>
          </w:p>
        </w:tc>
        <w:tc>
          <w:tcPr>
            <w:tcW w:type="dxa" w:w="4968"/>
          </w:tcPr>
          <w:p>
            <w:r>
              <w:rPr>
                <w:sz w:val="18"/>
              </w:rPr>
              <w:t>50.0%</w:t>
            </w:r>
          </w:p>
        </w:tc>
      </w:tr>
      <w:tr>
        <w:tc>
          <w:tcPr>
            <w:tcW w:type="dxa" w:w="4968"/>
          </w:tcPr>
          <w:p>
            <w:r>
              <w:rPr>
                <w:sz w:val="18"/>
              </w:rPr>
              <w:t>Tablet</w:t>
            </w:r>
          </w:p>
        </w:tc>
        <w:tc>
          <w:tcPr>
            <w:tcW w:type="dxa" w:w="4968"/>
          </w:tcPr>
          <w:p>
            <w:r>
              <w:rPr>
                <w:sz w:val="18"/>
              </w:rPr>
              <w:t>49.7%</w:t>
            </w:r>
          </w:p>
        </w:tc>
      </w:tr>
    </w:tbl>
    <w:p/>
    <w:p>
      <w:r>
        <w:t>Insight: Rates are almost identical across devices. Device type alone does not appear to explain the abandonment problem in these descriptive results.</w:t>
      </w:r>
    </w:p>
    <w:p>
      <w:pPr>
        <w:pStyle w:val="ListBullet"/>
      </w:pPr>
      <w:r>
        <w:t>Maintain a usable checkout experience on desktop, mobile, and tablet.</w:t>
      </w:r>
    </w:p>
    <w:p>
      <w:pPr>
        <w:pStyle w:val="ListBullet"/>
      </w:pPr>
      <w:r>
        <w:t>Test mobile loading speed, form usability, button placement, and payment redirection.</w:t>
      </w:r>
    </w:p>
    <w:p>
      <w:pPr>
        <w:pStyle w:val="ListBullet"/>
      </w:pPr>
      <w:r>
        <w:t>Collect device-specific errors and checkout-stage exits before prioritizing a device.</w:t>
      </w:r>
    </w:p>
    <w:p>
      <w:pPr>
        <w:pStyle w:val="Heading1"/>
      </w:pPr>
      <w:r>
        <w:t>4. Product Category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Product category</w:t>
            </w:r>
          </w:p>
        </w:tc>
        <w:tc>
          <w:tcPr>
            <w:tcW w:type="dxa" w:w="4968"/>
            <w:shd w:fill="17365D"/>
          </w:tcPr>
          <w:p>
            <w:r>
              <w:rPr>
                <w:b/>
                <w:color w:val="FFFFFF"/>
                <w:sz w:val="18"/>
              </w:rPr>
              <w:t>Abandonment rate</w:t>
            </w:r>
          </w:p>
        </w:tc>
      </w:tr>
      <w:tr>
        <w:tc>
          <w:tcPr>
            <w:tcW w:type="dxa" w:w="4968"/>
          </w:tcPr>
          <w:p>
            <w:r>
              <w:rPr>
                <w:sz w:val="18"/>
              </w:rPr>
              <w:t>Electronics</w:t>
            </w:r>
          </w:p>
        </w:tc>
        <w:tc>
          <w:tcPr>
            <w:tcW w:type="dxa" w:w="4968"/>
          </w:tcPr>
          <w:p>
            <w:r>
              <w:rPr>
                <w:sz w:val="18"/>
              </w:rPr>
              <w:t>50.7%</w:t>
            </w:r>
          </w:p>
        </w:tc>
      </w:tr>
      <w:tr>
        <w:tc>
          <w:tcPr>
            <w:tcW w:type="dxa" w:w="4968"/>
          </w:tcPr>
          <w:p>
            <w:r>
              <w:rPr>
                <w:sz w:val="18"/>
              </w:rPr>
              <w:t>Fashion</w:t>
            </w:r>
          </w:p>
        </w:tc>
        <w:tc>
          <w:tcPr>
            <w:tcW w:type="dxa" w:w="4968"/>
          </w:tcPr>
          <w:p>
            <w:r>
              <w:rPr>
                <w:sz w:val="18"/>
              </w:rPr>
              <w:t>50.2%</w:t>
            </w:r>
          </w:p>
        </w:tc>
      </w:tr>
      <w:tr>
        <w:tc>
          <w:tcPr>
            <w:tcW w:type="dxa" w:w="4968"/>
          </w:tcPr>
          <w:p>
            <w:r>
              <w:rPr>
                <w:sz w:val="18"/>
              </w:rPr>
              <w:t>Home &amp; Kitchen</w:t>
            </w:r>
          </w:p>
        </w:tc>
        <w:tc>
          <w:tcPr>
            <w:tcW w:type="dxa" w:w="4968"/>
          </w:tcPr>
          <w:p>
            <w:r>
              <w:rPr>
                <w:sz w:val="18"/>
              </w:rPr>
              <w:t>49.9%</w:t>
            </w:r>
          </w:p>
        </w:tc>
      </w:tr>
      <w:tr>
        <w:tc>
          <w:tcPr>
            <w:tcW w:type="dxa" w:w="4968"/>
          </w:tcPr>
          <w:p>
            <w:r>
              <w:rPr>
                <w:sz w:val="18"/>
              </w:rPr>
              <w:t>Beauty</w:t>
            </w:r>
          </w:p>
        </w:tc>
        <w:tc>
          <w:tcPr>
            <w:tcW w:type="dxa" w:w="4968"/>
          </w:tcPr>
          <w:p>
            <w:r>
              <w:rPr>
                <w:sz w:val="18"/>
              </w:rPr>
              <w:t>49.7%</w:t>
            </w:r>
          </w:p>
        </w:tc>
      </w:tr>
      <w:tr>
        <w:tc>
          <w:tcPr>
            <w:tcW w:type="dxa" w:w="4968"/>
          </w:tcPr>
          <w:p>
            <w:r>
              <w:rPr>
                <w:sz w:val="18"/>
              </w:rPr>
              <w:t>Sports</w:t>
            </w:r>
          </w:p>
        </w:tc>
        <w:tc>
          <w:tcPr>
            <w:tcW w:type="dxa" w:w="4968"/>
          </w:tcPr>
          <w:p>
            <w:r>
              <w:rPr>
                <w:sz w:val="18"/>
              </w:rPr>
              <w:t>49.6%</w:t>
            </w:r>
          </w:p>
        </w:tc>
      </w:tr>
      <w:tr>
        <w:tc>
          <w:tcPr>
            <w:tcW w:type="dxa" w:w="4968"/>
          </w:tcPr>
          <w:p>
            <w:r>
              <w:rPr>
                <w:sz w:val="18"/>
              </w:rPr>
              <w:t>Books</w:t>
            </w:r>
          </w:p>
        </w:tc>
        <w:tc>
          <w:tcPr>
            <w:tcW w:type="dxa" w:w="4968"/>
          </w:tcPr>
          <w:p>
            <w:r>
              <w:rPr>
                <w:sz w:val="18"/>
              </w:rPr>
              <w:t>48.6%</w:t>
            </w:r>
          </w:p>
        </w:tc>
      </w:tr>
    </w:tbl>
    <w:p/>
    <w:p>
      <w:r>
        <w:t>Insight: Electronics has the highest reported category rate and Books the lowest, a difference of about 2.1 percentage points. This is a small descriptive gap and does not establish that category causes abandonment.</w:t>
      </w:r>
    </w:p>
    <w:p>
      <w:pPr>
        <w:pStyle w:val="ListBullet"/>
      </w:pPr>
      <w:r>
        <w:t>For electronics, make warranty, delivery, returns, and product specifications visible.</w:t>
      </w:r>
    </w:p>
    <w:p>
      <w:pPr>
        <w:pStyle w:val="ListBullet"/>
      </w:pPr>
      <w:r>
        <w:t>For fashion, provide accurate size guides, images, and return details.</w:t>
      </w:r>
    </w:p>
    <w:p>
      <w:pPr>
        <w:pStyle w:val="ListBullet"/>
      </w:pPr>
      <w:r>
        <w:t>Compare funnel completion and revenue within each category before changing promotions or inventory.</w:t>
      </w:r>
    </w:p>
    <w:p>
      <w:pPr>
        <w:pStyle w:val="Heading1"/>
      </w:pPr>
      <w:r>
        <w:t>5. Traffic Source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Traffic source</w:t>
            </w:r>
          </w:p>
        </w:tc>
        <w:tc>
          <w:tcPr>
            <w:tcW w:type="dxa" w:w="4968"/>
            <w:shd w:fill="17365D"/>
          </w:tcPr>
          <w:p>
            <w:r>
              <w:rPr>
                <w:b/>
                <w:color w:val="FFFFFF"/>
                <w:sz w:val="18"/>
              </w:rPr>
              <w:t>Abandonment rate</w:t>
            </w:r>
          </w:p>
        </w:tc>
      </w:tr>
      <w:tr>
        <w:tc>
          <w:tcPr>
            <w:tcW w:type="dxa" w:w="4968"/>
          </w:tcPr>
          <w:p>
            <w:r>
              <w:rPr>
                <w:sz w:val="18"/>
              </w:rPr>
              <w:t>Direct</w:t>
            </w:r>
          </w:p>
        </w:tc>
        <w:tc>
          <w:tcPr>
            <w:tcW w:type="dxa" w:w="4968"/>
          </w:tcPr>
          <w:p>
            <w:r>
              <w:rPr>
                <w:sz w:val="18"/>
              </w:rPr>
              <w:t>50.6%</w:t>
            </w:r>
          </w:p>
        </w:tc>
      </w:tr>
      <w:tr>
        <w:tc>
          <w:tcPr>
            <w:tcW w:type="dxa" w:w="4968"/>
          </w:tcPr>
          <w:p>
            <w:r>
              <w:rPr>
                <w:sz w:val="18"/>
              </w:rPr>
              <w:t>Instagram</w:t>
            </w:r>
          </w:p>
        </w:tc>
        <w:tc>
          <w:tcPr>
            <w:tcW w:type="dxa" w:w="4968"/>
          </w:tcPr>
          <w:p>
            <w:r>
              <w:rPr>
                <w:sz w:val="18"/>
              </w:rPr>
              <w:t>50.4%</w:t>
            </w:r>
          </w:p>
        </w:tc>
      </w:tr>
      <w:tr>
        <w:tc>
          <w:tcPr>
            <w:tcW w:type="dxa" w:w="4968"/>
          </w:tcPr>
          <w:p>
            <w:r>
              <w:rPr>
                <w:sz w:val="18"/>
              </w:rPr>
              <w:t>Google Ads</w:t>
            </w:r>
          </w:p>
        </w:tc>
        <w:tc>
          <w:tcPr>
            <w:tcW w:type="dxa" w:w="4968"/>
          </w:tcPr>
          <w:p>
            <w:r>
              <w:rPr>
                <w:sz w:val="18"/>
              </w:rPr>
              <w:t>50.1%</w:t>
            </w:r>
          </w:p>
        </w:tc>
      </w:tr>
      <w:tr>
        <w:tc>
          <w:tcPr>
            <w:tcW w:type="dxa" w:w="4968"/>
          </w:tcPr>
          <w:p>
            <w:r>
              <w:rPr>
                <w:sz w:val="18"/>
              </w:rPr>
              <w:t>Facebook</w:t>
            </w:r>
          </w:p>
        </w:tc>
        <w:tc>
          <w:tcPr>
            <w:tcW w:type="dxa" w:w="4968"/>
          </w:tcPr>
          <w:p>
            <w:r>
              <w:rPr>
                <w:sz w:val="18"/>
              </w:rPr>
              <w:t>49.9%</w:t>
            </w:r>
          </w:p>
        </w:tc>
      </w:tr>
      <w:tr>
        <w:tc>
          <w:tcPr>
            <w:tcW w:type="dxa" w:w="4968"/>
          </w:tcPr>
          <w:p>
            <w:r>
              <w:rPr>
                <w:sz w:val="18"/>
              </w:rPr>
              <w:t>Email</w:t>
            </w:r>
          </w:p>
        </w:tc>
        <w:tc>
          <w:tcPr>
            <w:tcW w:type="dxa" w:w="4968"/>
          </w:tcPr>
          <w:p>
            <w:r>
              <w:rPr>
                <w:sz w:val="18"/>
              </w:rPr>
              <w:t>49.6%</w:t>
            </w:r>
          </w:p>
        </w:tc>
      </w:tr>
      <w:tr>
        <w:tc>
          <w:tcPr>
            <w:tcW w:type="dxa" w:w="4968"/>
          </w:tcPr>
          <w:p>
            <w:r>
              <w:rPr>
                <w:sz w:val="18"/>
              </w:rPr>
              <w:t>Organic Search</w:t>
            </w:r>
          </w:p>
        </w:tc>
        <w:tc>
          <w:tcPr>
            <w:tcW w:type="dxa" w:w="4968"/>
          </w:tcPr>
          <w:p>
            <w:r>
              <w:rPr>
                <w:sz w:val="18"/>
              </w:rPr>
              <w:t>49.3%</w:t>
            </w:r>
          </w:p>
        </w:tc>
      </w:tr>
    </w:tbl>
    <w:p/>
    <w:p>
      <w:r>
        <w:t>Insight: Direct traffic has the highest reported rate and Organic Search the lowest, with a gap of approximately 1.3 percentage points. Different purchase intent is one possible explanation, but intent is not directly measured in the dataset.</w:t>
      </w:r>
    </w:p>
    <w:p>
      <w:pPr>
        <w:pStyle w:val="ListBullet"/>
      </w:pPr>
      <w:r>
        <w:t>Measure conversion, revenue, and customer acquisition cost by channel.</w:t>
      </w:r>
    </w:p>
    <w:p>
      <w:pPr>
        <w:pStyle w:val="ListBullet"/>
      </w:pPr>
      <w:r>
        <w:t>Check that ads and landing pages show consistent products, prices, and offers.</w:t>
      </w:r>
    </w:p>
    <w:p>
      <w:pPr>
        <w:pStyle w:val="ListBullet"/>
      </w:pPr>
      <w:r>
        <w:t>Track the customer journey from landing page through purchase before reallocating marketing budget.</w:t>
      </w:r>
    </w:p>
    <w:p>
      <w:pPr>
        <w:pStyle w:val="Heading1"/>
      </w:pPr>
      <w:r>
        <w:t>6. Payment Method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Payment method</w:t>
            </w:r>
          </w:p>
        </w:tc>
        <w:tc>
          <w:tcPr>
            <w:tcW w:type="dxa" w:w="4968"/>
            <w:shd w:fill="17365D"/>
          </w:tcPr>
          <w:p>
            <w:r>
              <w:rPr>
                <w:b/>
                <w:color w:val="FFFFFF"/>
                <w:sz w:val="18"/>
              </w:rPr>
              <w:t>Abandonment rate</w:t>
            </w:r>
          </w:p>
        </w:tc>
      </w:tr>
      <w:tr>
        <w:tc>
          <w:tcPr>
            <w:tcW w:type="dxa" w:w="4968"/>
          </w:tcPr>
          <w:p>
            <w:r>
              <w:rPr>
                <w:sz w:val="18"/>
              </w:rPr>
              <w:t>Net Banking</w:t>
            </w:r>
          </w:p>
        </w:tc>
        <w:tc>
          <w:tcPr>
            <w:tcW w:type="dxa" w:w="4968"/>
          </w:tcPr>
          <w:p>
            <w:r>
              <w:rPr>
                <w:sz w:val="18"/>
              </w:rPr>
              <w:t>50.6%</w:t>
            </w:r>
          </w:p>
        </w:tc>
      </w:tr>
      <w:tr>
        <w:tc>
          <w:tcPr>
            <w:tcW w:type="dxa" w:w="4968"/>
          </w:tcPr>
          <w:p>
            <w:r>
              <w:rPr>
                <w:sz w:val="18"/>
              </w:rPr>
              <w:t>Cash on Delivery (COD)</w:t>
            </w:r>
          </w:p>
        </w:tc>
        <w:tc>
          <w:tcPr>
            <w:tcW w:type="dxa" w:w="4968"/>
          </w:tcPr>
          <w:p>
            <w:r>
              <w:rPr>
                <w:sz w:val="18"/>
              </w:rPr>
              <w:t>50.4%</w:t>
            </w:r>
          </w:p>
        </w:tc>
      </w:tr>
      <w:tr>
        <w:tc>
          <w:tcPr>
            <w:tcW w:type="dxa" w:w="4968"/>
          </w:tcPr>
          <w:p>
            <w:r>
              <w:rPr>
                <w:sz w:val="18"/>
              </w:rPr>
              <w:t>Credit Card</w:t>
            </w:r>
          </w:p>
        </w:tc>
        <w:tc>
          <w:tcPr>
            <w:tcW w:type="dxa" w:w="4968"/>
          </w:tcPr>
          <w:p>
            <w:r>
              <w:rPr>
                <w:sz w:val="18"/>
              </w:rPr>
              <w:t>49.7%</w:t>
            </w:r>
          </w:p>
        </w:tc>
      </w:tr>
      <w:tr>
        <w:tc>
          <w:tcPr>
            <w:tcW w:type="dxa" w:w="4968"/>
          </w:tcPr>
          <w:p>
            <w:r>
              <w:rPr>
                <w:sz w:val="18"/>
              </w:rPr>
              <w:t>UPI</w:t>
            </w:r>
          </w:p>
        </w:tc>
        <w:tc>
          <w:tcPr>
            <w:tcW w:type="dxa" w:w="4968"/>
          </w:tcPr>
          <w:p>
            <w:r>
              <w:rPr>
                <w:sz w:val="18"/>
              </w:rPr>
              <w:t>49.7%</w:t>
            </w:r>
          </w:p>
        </w:tc>
      </w:tr>
      <w:tr>
        <w:tc>
          <w:tcPr>
            <w:tcW w:type="dxa" w:w="4968"/>
          </w:tcPr>
          <w:p>
            <w:r>
              <w:rPr>
                <w:sz w:val="18"/>
              </w:rPr>
              <w:t>Debit Card</w:t>
            </w:r>
          </w:p>
        </w:tc>
        <w:tc>
          <w:tcPr>
            <w:tcW w:type="dxa" w:w="4968"/>
          </w:tcPr>
          <w:p>
            <w:r>
              <w:rPr>
                <w:sz w:val="18"/>
              </w:rPr>
              <w:t>49.5%</w:t>
            </w:r>
          </w:p>
        </w:tc>
      </w:tr>
      <w:tr>
        <w:tc>
          <w:tcPr>
            <w:tcW w:type="dxa" w:w="4968"/>
          </w:tcPr>
          <w:p>
            <w:r>
              <w:rPr>
                <w:sz w:val="18"/>
              </w:rPr>
              <w:t>Wallet</w:t>
            </w:r>
          </w:p>
        </w:tc>
        <w:tc>
          <w:tcPr>
            <w:tcW w:type="dxa" w:w="4968"/>
          </w:tcPr>
          <w:p>
            <w:r>
              <w:rPr>
                <w:sz w:val="18"/>
              </w:rPr>
              <w:t>49.2%</w:t>
            </w:r>
          </w:p>
        </w:tc>
      </w:tr>
    </w:tbl>
    <w:p/>
    <w:p>
      <w:r>
        <w:t>Insight: Net Banking has the highest reported rate and Wallet the lowest, a difference of about 1.4 percentage points. This does not prove that a payment method causes abandonment; payment attempts and failures should be analyzed separately.</w:t>
      </w:r>
    </w:p>
    <w:p>
      <w:pPr>
        <w:pStyle w:val="ListBullet"/>
      </w:pPr>
      <w:r>
        <w:t>Record payment attempts, failures, gateway errors, and successful transactions separately.</w:t>
      </w:r>
    </w:p>
    <w:p>
      <w:pPr>
        <w:pStyle w:val="ListBullet"/>
      </w:pPr>
      <w:r>
        <w:t>Investigate redirection failures and provide an easy way to switch payment methods.</w:t>
      </w:r>
    </w:p>
    <w:p>
      <w:pPr>
        <w:pStyle w:val="ListBullet"/>
      </w:pPr>
      <w:r>
        <w:t>Track payment success rate in addition to overall cart abandonment.</w:t>
      </w:r>
    </w:p>
    <w:p>
      <w:pPr>
        <w:pStyle w:val="Heading1"/>
      </w:pPr>
      <w:r>
        <w:t>7. Customer Type and Gender</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Group</w:t>
            </w:r>
          </w:p>
        </w:tc>
        <w:tc>
          <w:tcPr>
            <w:tcW w:type="dxa" w:w="4968"/>
            <w:shd w:fill="17365D"/>
          </w:tcPr>
          <w:p>
            <w:r>
              <w:rPr>
                <w:b/>
                <w:color w:val="FFFFFF"/>
                <w:sz w:val="18"/>
              </w:rPr>
              <w:t>Abandonment rate</w:t>
            </w:r>
          </w:p>
        </w:tc>
      </w:tr>
      <w:tr>
        <w:tc>
          <w:tcPr>
            <w:tcW w:type="dxa" w:w="4968"/>
          </w:tcPr>
          <w:p>
            <w:r>
              <w:rPr>
                <w:sz w:val="18"/>
              </w:rPr>
              <w:t>Returning customers</w:t>
            </w:r>
          </w:p>
        </w:tc>
        <w:tc>
          <w:tcPr>
            <w:tcW w:type="dxa" w:w="4968"/>
          </w:tcPr>
          <w:p>
            <w:r>
              <w:rPr>
                <w:sz w:val="18"/>
              </w:rPr>
              <w:t>49.9%</w:t>
            </w:r>
          </w:p>
        </w:tc>
      </w:tr>
      <w:tr>
        <w:tc>
          <w:tcPr>
            <w:tcW w:type="dxa" w:w="4968"/>
          </w:tcPr>
          <w:p>
            <w:r>
              <w:rPr>
                <w:sz w:val="18"/>
              </w:rPr>
              <w:t>New customers</w:t>
            </w:r>
          </w:p>
        </w:tc>
        <w:tc>
          <w:tcPr>
            <w:tcW w:type="dxa" w:w="4968"/>
          </w:tcPr>
          <w:p>
            <w:r>
              <w:rPr>
                <w:sz w:val="18"/>
              </w:rPr>
              <w:t>50.0%</w:t>
            </w:r>
          </w:p>
        </w:tc>
      </w:tr>
      <w:tr>
        <w:tc>
          <w:tcPr>
            <w:tcW w:type="dxa" w:w="4968"/>
          </w:tcPr>
          <w:p>
            <w:r>
              <w:rPr>
                <w:sz w:val="18"/>
              </w:rPr>
              <w:t>Unknown customer status</w:t>
            </w:r>
          </w:p>
        </w:tc>
        <w:tc>
          <w:tcPr>
            <w:tcW w:type="dxa" w:w="4968"/>
          </w:tcPr>
          <w:p>
            <w:r>
              <w:rPr>
                <w:sz w:val="18"/>
              </w:rPr>
              <w:t>50.1%</w:t>
            </w:r>
          </w:p>
        </w:tc>
      </w:tr>
      <w:tr>
        <w:tc>
          <w:tcPr>
            <w:tcW w:type="dxa" w:w="4968"/>
          </w:tcPr>
          <w:p>
            <w:r>
              <w:rPr>
                <w:sz w:val="18"/>
              </w:rPr>
              <w:t>Female</w:t>
            </w:r>
          </w:p>
        </w:tc>
        <w:tc>
          <w:tcPr>
            <w:tcW w:type="dxa" w:w="4968"/>
          </w:tcPr>
          <w:p>
            <w:r>
              <w:rPr>
                <w:sz w:val="18"/>
              </w:rPr>
              <w:t>49.8%</w:t>
            </w:r>
          </w:p>
        </w:tc>
      </w:tr>
      <w:tr>
        <w:tc>
          <w:tcPr>
            <w:tcW w:type="dxa" w:w="4968"/>
          </w:tcPr>
          <w:p>
            <w:r>
              <w:rPr>
                <w:sz w:val="18"/>
              </w:rPr>
              <w:t>Male</w:t>
            </w:r>
          </w:p>
        </w:tc>
        <w:tc>
          <w:tcPr>
            <w:tcW w:type="dxa" w:w="4968"/>
          </w:tcPr>
          <w:p>
            <w:r>
              <w:rPr>
                <w:sz w:val="18"/>
              </w:rPr>
              <w:t>49.8%</w:t>
            </w:r>
          </w:p>
        </w:tc>
      </w:tr>
      <w:tr>
        <w:tc>
          <w:tcPr>
            <w:tcW w:type="dxa" w:w="4968"/>
          </w:tcPr>
          <w:p>
            <w:r>
              <w:rPr>
                <w:sz w:val="18"/>
              </w:rPr>
              <w:t>Other</w:t>
            </w:r>
          </w:p>
        </w:tc>
        <w:tc>
          <w:tcPr>
            <w:tcW w:type="dxa" w:w="4968"/>
          </w:tcPr>
          <w:p>
            <w:r>
              <w:rPr>
                <w:sz w:val="18"/>
              </w:rPr>
              <w:t>50.6%</w:t>
            </w:r>
          </w:p>
        </w:tc>
      </w:tr>
    </w:tbl>
    <w:p/>
    <w:p>
      <w:r>
        <w:t>Insight: Customer type and gender show no substantial differences in these results. Returning customers do not have a clearly lower abandonment rate.</w:t>
      </w:r>
    </w:p>
    <w:p>
      <w:pPr>
        <w:pStyle w:val="ListBullet"/>
      </w:pPr>
      <w:r>
        <w:t>Test guest checkout and saved address/payment details.</w:t>
      </w:r>
    </w:p>
    <w:p>
      <w:pPr>
        <w:pStyle w:val="ListBullet"/>
      </w:pPr>
      <w:r>
        <w:t>Improve checkout usability for both new and returning customers.</w:t>
      </w:r>
    </w:p>
    <w:p>
      <w:pPr>
        <w:pStyle w:val="ListBullet"/>
      </w:pPr>
      <w:r>
        <w:t>Avoid drawing conclusions from small subgroup differences without statistical evidence.</w:t>
      </w:r>
    </w:p>
    <w:p>
      <w:pPr>
        <w:pStyle w:val="Heading1"/>
      </w:pPr>
      <w:r>
        <w:t>8. Cart Value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Cart value range</w:t>
            </w:r>
          </w:p>
        </w:tc>
        <w:tc>
          <w:tcPr>
            <w:tcW w:type="dxa" w:w="4968"/>
            <w:shd w:fill="17365D"/>
          </w:tcPr>
          <w:p>
            <w:r>
              <w:rPr>
                <w:b/>
                <w:color w:val="FFFFFF"/>
                <w:sz w:val="18"/>
              </w:rPr>
              <w:t>Abandonment rate</w:t>
            </w:r>
          </w:p>
        </w:tc>
      </w:tr>
      <w:tr>
        <w:tc>
          <w:tcPr>
            <w:tcW w:type="dxa" w:w="4968"/>
          </w:tcPr>
          <w:p>
            <w:r>
              <w:rPr>
                <w:sz w:val="18"/>
              </w:rPr>
              <w:t>Below 1,000</w:t>
            </w:r>
          </w:p>
        </w:tc>
        <w:tc>
          <w:tcPr>
            <w:tcW w:type="dxa" w:w="4968"/>
          </w:tcPr>
          <w:p>
            <w:r>
              <w:rPr>
                <w:sz w:val="18"/>
              </w:rPr>
              <w:t>49.8%</w:t>
            </w:r>
          </w:p>
        </w:tc>
      </w:tr>
      <w:tr>
        <w:tc>
          <w:tcPr>
            <w:tcW w:type="dxa" w:w="4968"/>
          </w:tcPr>
          <w:p>
            <w:r>
              <w:rPr>
                <w:sz w:val="18"/>
              </w:rPr>
              <w:t>1,000–3,000</w:t>
            </w:r>
          </w:p>
        </w:tc>
        <w:tc>
          <w:tcPr>
            <w:tcW w:type="dxa" w:w="4968"/>
          </w:tcPr>
          <w:p>
            <w:r>
              <w:rPr>
                <w:sz w:val="18"/>
              </w:rPr>
              <w:t>49.9%</w:t>
            </w:r>
          </w:p>
        </w:tc>
      </w:tr>
      <w:tr>
        <w:tc>
          <w:tcPr>
            <w:tcW w:type="dxa" w:w="4968"/>
          </w:tcPr>
          <w:p>
            <w:r>
              <w:rPr>
                <w:sz w:val="18"/>
              </w:rPr>
              <w:t>3,000–5,000</w:t>
            </w:r>
          </w:p>
        </w:tc>
        <w:tc>
          <w:tcPr>
            <w:tcW w:type="dxa" w:w="4968"/>
          </w:tcPr>
          <w:p>
            <w:r>
              <w:rPr>
                <w:sz w:val="18"/>
              </w:rPr>
              <w:t>50.9%</w:t>
            </w:r>
          </w:p>
        </w:tc>
      </w:tr>
      <w:tr>
        <w:tc>
          <w:tcPr>
            <w:tcW w:type="dxa" w:w="4968"/>
          </w:tcPr>
          <w:p>
            <w:r>
              <w:rPr>
                <w:sz w:val="18"/>
              </w:rPr>
              <w:t>5,000–10,000</w:t>
            </w:r>
          </w:p>
        </w:tc>
        <w:tc>
          <w:tcPr>
            <w:tcW w:type="dxa" w:w="4968"/>
          </w:tcPr>
          <w:p>
            <w:r>
              <w:rPr>
                <w:sz w:val="18"/>
              </w:rPr>
              <w:t>48.5%</w:t>
            </w:r>
          </w:p>
        </w:tc>
      </w:tr>
      <w:tr>
        <w:tc>
          <w:tcPr>
            <w:tcW w:type="dxa" w:w="4968"/>
          </w:tcPr>
          <w:p>
            <w:r>
              <w:rPr>
                <w:sz w:val="18"/>
              </w:rPr>
              <w:t>Above 10,000</w:t>
            </w:r>
          </w:p>
        </w:tc>
        <w:tc>
          <w:tcPr>
            <w:tcW w:type="dxa" w:w="4968"/>
          </w:tcPr>
          <w:p>
            <w:r>
              <w:rPr>
                <w:sz w:val="18"/>
              </w:rPr>
              <w:t>52.3%</w:t>
            </w:r>
          </w:p>
        </w:tc>
      </w:tr>
    </w:tbl>
    <w:p/>
    <w:p>
      <w:r>
        <w:t>The reported mean cart value is approximately 2,211.88 for completed carts and 2,211.42 for abandoned carts. The highest-value group has the highest observed rate, but the pattern is not consistent across all ranges. The currency is not explicitly documented in the analysis, so values should be interpreted in the dataset's own monetary units.</w:t>
      </w:r>
    </w:p>
    <w:p>
      <w:pPr>
        <w:pStyle w:val="ListBullet"/>
      </w:pPr>
      <w:r>
        <w:t>Investigate delivery charges, payment limits, and additional fees for high-value carts.</w:t>
      </w:r>
    </w:p>
    <w:p>
      <w:pPr>
        <w:pStyle w:val="ListBullet"/>
      </w:pPr>
      <w:r>
        <w:t>Provide clear delivery, warranty, and return information before payment.</w:t>
      </w:r>
    </w:p>
    <w:p>
      <w:pPr>
        <w:pStyle w:val="ListBullet"/>
      </w:pPr>
      <w:r>
        <w:t>Measure recovered revenue and profit before scaling high-value-cart interventions.</w:t>
      </w:r>
    </w:p>
    <w:p>
      <w:pPr>
        <w:pStyle w:val="Heading1"/>
      </w:pPr>
      <w:r>
        <w:t>9. Shipping Cost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Cart outcome</w:t>
            </w:r>
          </w:p>
        </w:tc>
        <w:tc>
          <w:tcPr>
            <w:tcW w:type="dxa" w:w="4968"/>
            <w:shd w:fill="17365D"/>
          </w:tcPr>
          <w:p>
            <w:r>
              <w:rPr>
                <w:b/>
                <w:color w:val="FFFFFF"/>
                <w:sz w:val="18"/>
              </w:rPr>
              <w:t>Average shipping cost</w:t>
            </w:r>
          </w:p>
        </w:tc>
      </w:tr>
      <w:tr>
        <w:tc>
          <w:tcPr>
            <w:tcW w:type="dxa" w:w="4968"/>
          </w:tcPr>
          <w:p>
            <w:r>
              <w:rPr>
                <w:sz w:val="18"/>
              </w:rPr>
              <w:t>Completed</w:t>
            </w:r>
          </w:p>
        </w:tc>
        <w:tc>
          <w:tcPr>
            <w:tcW w:type="dxa" w:w="4968"/>
          </w:tcPr>
          <w:p>
            <w:r>
              <w:rPr>
                <w:sz w:val="18"/>
              </w:rPr>
              <w:t>105.77</w:t>
            </w:r>
          </w:p>
        </w:tc>
      </w:tr>
      <w:tr>
        <w:tc>
          <w:tcPr>
            <w:tcW w:type="dxa" w:w="4968"/>
          </w:tcPr>
          <w:p>
            <w:r>
              <w:rPr>
                <w:sz w:val="18"/>
              </w:rPr>
              <w:t>Abandoned</w:t>
            </w:r>
          </w:p>
        </w:tc>
        <w:tc>
          <w:tcPr>
            <w:tcW w:type="dxa" w:w="4968"/>
          </w:tcPr>
          <w:p>
            <w:r>
              <w:rPr>
                <w:sz w:val="18"/>
              </w:rPr>
              <w:t>106.21</w:t>
            </w:r>
          </w:p>
        </w:tc>
      </w:tr>
    </w:tbl>
    <w:p/>
    <w:p>
      <w:r>
        <w:t>The difference in average shipping cost is only 0.44. The higher-cost group has an abandonment rate of approximately 50.8%, which does not establish a strong relationship. The timing of when shipping charges are shown is not captured.</w:t>
      </w:r>
    </w:p>
    <w:p>
      <w:pPr>
        <w:pStyle w:val="ListBullet"/>
      </w:pPr>
      <w:r>
        <w:t>Display shipping costs and the complete payable amount early.</w:t>
      </w:r>
    </w:p>
    <w:p>
      <w:pPr>
        <w:pStyle w:val="ListBullet"/>
      </w:pPr>
      <w:r>
        <w:t>Test free-shipping thresholds against both conversion and profit.</w:t>
      </w:r>
    </w:p>
    <w:p>
      <w:pPr>
        <w:pStyle w:val="ListBullet"/>
      </w:pPr>
      <w:r>
        <w:t>Compare abandonment before and after shipping information is displayed.</w:t>
      </w:r>
    </w:p>
    <w:p>
      <w:pPr>
        <w:pStyle w:val="Heading1"/>
      </w:pPr>
      <w:r>
        <w:t>10. Discount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Cart outcome / discount group</w:t>
            </w:r>
          </w:p>
        </w:tc>
        <w:tc>
          <w:tcPr>
            <w:tcW w:type="dxa" w:w="4968"/>
            <w:shd w:fill="17365D"/>
          </w:tcPr>
          <w:p>
            <w:r>
              <w:rPr>
                <w:b/>
                <w:color w:val="FFFFFF"/>
                <w:sz w:val="18"/>
              </w:rPr>
              <w:t>Reported result</w:t>
            </w:r>
          </w:p>
        </w:tc>
      </w:tr>
      <w:tr>
        <w:tc>
          <w:tcPr>
            <w:tcW w:type="dxa" w:w="4968"/>
          </w:tcPr>
          <w:p>
            <w:r>
              <w:rPr>
                <w:sz w:val="18"/>
              </w:rPr>
              <w:t>Average discount — completed</w:t>
            </w:r>
          </w:p>
        </w:tc>
        <w:tc>
          <w:tcPr>
            <w:tcW w:type="dxa" w:w="4968"/>
          </w:tcPr>
          <w:p>
            <w:r>
              <w:rPr>
                <w:sz w:val="18"/>
              </w:rPr>
              <w:t>14.44%</w:t>
            </w:r>
          </w:p>
        </w:tc>
      </w:tr>
      <w:tr>
        <w:tc>
          <w:tcPr>
            <w:tcW w:type="dxa" w:w="4968"/>
          </w:tcPr>
          <w:p>
            <w:r>
              <w:rPr>
                <w:sz w:val="18"/>
              </w:rPr>
              <w:t>Average discount — abandoned</w:t>
            </w:r>
          </w:p>
        </w:tc>
        <w:tc>
          <w:tcPr>
            <w:tcW w:type="dxa" w:w="4968"/>
          </w:tcPr>
          <w:p>
            <w:r>
              <w:rPr>
                <w:sz w:val="18"/>
              </w:rPr>
              <w:t>14.65%</w:t>
            </w:r>
          </w:p>
        </w:tc>
      </w:tr>
      <w:tr>
        <w:tc>
          <w:tcPr>
            <w:tcW w:type="dxa" w:w="4968"/>
          </w:tcPr>
          <w:p>
            <w:r>
              <w:rPr>
                <w:sz w:val="18"/>
              </w:rPr>
              <w:t>Discount 21–25%</w:t>
            </w:r>
          </w:p>
        </w:tc>
        <w:tc>
          <w:tcPr>
            <w:tcW w:type="dxa" w:w="4968"/>
          </w:tcPr>
          <w:p>
            <w:r>
              <w:rPr>
                <w:sz w:val="18"/>
              </w:rPr>
              <w:t>About 51.0% abandonment</w:t>
            </w:r>
          </w:p>
        </w:tc>
      </w:tr>
      <w:tr>
        <w:tc>
          <w:tcPr>
            <w:tcW w:type="dxa" w:w="4968"/>
          </w:tcPr>
          <w:p>
            <w:r>
              <w:rPr>
                <w:sz w:val="18"/>
              </w:rPr>
              <w:t>Discount above 25%</w:t>
            </w:r>
          </w:p>
        </w:tc>
        <w:tc>
          <w:tcPr>
            <w:tcW w:type="dxa" w:w="4968"/>
          </w:tcPr>
          <w:p>
            <w:r>
              <w:rPr>
                <w:sz w:val="18"/>
              </w:rPr>
              <w:t>About 51.9% abandonment</w:t>
            </w:r>
          </w:p>
        </w:tc>
      </w:tr>
    </w:tbl>
    <w:p/>
    <w:p>
      <w:r>
        <w:t>Insight: The average discount differs by only 0.21 percentage points between outcomes. Higher discounts do not automatically correspond to lower abandonment. Campaigns should be evaluated on completed orders and profitability, not discount size alone.</w:t>
      </w:r>
    </w:p>
    <w:p>
      <w:pPr>
        <w:pStyle w:val="ListBullet"/>
      </w:pPr>
      <w:r>
        <w:t>Test targeted offers rather than applying blanket discounts.</w:t>
      </w:r>
    </w:p>
    <w:p>
      <w:pPr>
        <w:pStyle w:val="ListBullet"/>
      </w:pPr>
      <w:r>
        <w:t>Compare conversion and profit before and after discounts.</w:t>
      </w:r>
    </w:p>
    <w:p>
      <w:pPr>
        <w:pStyle w:val="ListBullet"/>
      </w:pPr>
      <w:r>
        <w:t>Measure incremental purchases attributable to recovery campaigns.</w:t>
      </w:r>
    </w:p>
    <w:p>
      <w:pPr>
        <w:pStyle w:val="Heading1"/>
      </w:pPr>
      <w:r>
        <w:t>11. Session Duration, Pages Viewed, and Previous Purchases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65D"/>
          </w:tcPr>
          <w:p>
            <w:r>
              <w:rPr>
                <w:b/>
                <w:color w:val="FFFFFF"/>
                <w:sz w:val="18"/>
              </w:rPr>
              <w:t>Metric</w:t>
            </w:r>
          </w:p>
        </w:tc>
        <w:tc>
          <w:tcPr>
            <w:tcW w:type="dxa" w:w="3312"/>
            <w:shd w:fill="17365D"/>
          </w:tcPr>
          <w:p>
            <w:r>
              <w:rPr>
                <w:b/>
                <w:color w:val="FFFFFF"/>
                <w:sz w:val="18"/>
              </w:rPr>
              <w:t>Completed carts</w:t>
            </w:r>
          </w:p>
        </w:tc>
        <w:tc>
          <w:tcPr>
            <w:tcW w:type="dxa" w:w="3312"/>
            <w:shd w:fill="17365D"/>
          </w:tcPr>
          <w:p>
            <w:r>
              <w:rPr>
                <w:b/>
                <w:color w:val="FFFFFF"/>
                <w:sz w:val="18"/>
              </w:rPr>
              <w:t>Abandoned carts</w:t>
            </w:r>
          </w:p>
        </w:tc>
      </w:tr>
      <w:tr>
        <w:tc>
          <w:tcPr>
            <w:tcW w:type="dxa" w:w="3312"/>
          </w:tcPr>
          <w:p>
            <w:r>
              <w:rPr>
                <w:sz w:val="18"/>
              </w:rPr>
              <w:t>Average session duration (minutes)</w:t>
            </w:r>
          </w:p>
        </w:tc>
        <w:tc>
          <w:tcPr>
            <w:tcW w:type="dxa" w:w="3312"/>
          </w:tcPr>
          <w:p>
            <w:r>
              <w:rPr>
                <w:sz w:val="18"/>
              </w:rPr>
              <w:t>11.80</w:t>
            </w:r>
          </w:p>
        </w:tc>
        <w:tc>
          <w:tcPr>
            <w:tcW w:type="dxa" w:w="3312"/>
          </w:tcPr>
          <w:p>
            <w:r>
              <w:rPr>
                <w:sz w:val="18"/>
              </w:rPr>
              <w:t>11.44</w:t>
            </w:r>
          </w:p>
        </w:tc>
      </w:tr>
      <w:tr>
        <w:tc>
          <w:tcPr>
            <w:tcW w:type="dxa" w:w="3312"/>
          </w:tcPr>
          <w:p>
            <w:r>
              <w:rPr>
                <w:sz w:val="18"/>
              </w:rPr>
              <w:t>Average pages viewed</w:t>
            </w:r>
          </w:p>
        </w:tc>
        <w:tc>
          <w:tcPr>
            <w:tcW w:type="dxa" w:w="3312"/>
          </w:tcPr>
          <w:p>
            <w:r>
              <w:rPr>
                <w:sz w:val="18"/>
              </w:rPr>
              <w:t>12.58</w:t>
            </w:r>
          </w:p>
        </w:tc>
        <w:tc>
          <w:tcPr>
            <w:tcW w:type="dxa" w:w="3312"/>
          </w:tcPr>
          <w:p>
            <w:r>
              <w:rPr>
                <w:sz w:val="18"/>
              </w:rPr>
              <w:t>12.41</w:t>
            </w:r>
          </w:p>
        </w:tc>
      </w:tr>
      <w:tr>
        <w:tc>
          <w:tcPr>
            <w:tcW w:type="dxa" w:w="3312"/>
          </w:tcPr>
          <w:p>
            <w:r>
              <w:rPr>
                <w:sz w:val="18"/>
              </w:rPr>
              <w:t>Average previous purchases</w:t>
            </w:r>
          </w:p>
        </w:tc>
        <w:tc>
          <w:tcPr>
            <w:tcW w:type="dxa" w:w="3312"/>
          </w:tcPr>
          <w:p>
            <w:r>
              <w:rPr>
                <w:sz w:val="18"/>
              </w:rPr>
              <w:t>3.51</w:t>
            </w:r>
          </w:p>
        </w:tc>
        <w:tc>
          <w:tcPr>
            <w:tcW w:type="dxa" w:w="3312"/>
          </w:tcPr>
          <w:p>
            <w:r>
              <w:rPr>
                <w:sz w:val="18"/>
              </w:rPr>
              <w:t>3.52</w:t>
            </w:r>
          </w:p>
        </w:tc>
      </w:tr>
    </w:tbl>
    <w:p/>
    <w:p>
      <w:r>
        <w:t>Insight: Completed carts have slightly longer sessions and more pages viewed on average, while previous purchase counts are nearly identical. The differences are small. Increasing browsing time alone is not a demonstrated solution.</w:t>
      </w:r>
    </w:p>
    <w:p>
      <w:pPr>
        <w:pStyle w:val="ListBullet"/>
      </w:pPr>
      <w:r>
        <w:t>Identify the exact checkout stage where customers leave.</w:t>
      </w:r>
    </w:p>
    <w:p>
      <w:pPr>
        <w:pStyle w:val="ListBullet"/>
      </w:pPr>
      <w:r>
        <w:t>Measure time spent on individual checkout steps and repeated visits to pricing or delivery information.</w:t>
      </w:r>
    </w:p>
    <w:p>
      <w:pPr>
        <w:pStyle w:val="ListBullet"/>
      </w:pPr>
      <w:r>
        <w:t>Simplify unnecessary steps rather than trying to increase session duration.</w:t>
      </w:r>
    </w:p>
    <w:p>
      <w:pPr>
        <w:pStyle w:val="Heading1"/>
      </w:pPr>
      <w:r>
        <w:t>12. Age Group Analysis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Age group</w:t>
            </w:r>
          </w:p>
        </w:tc>
        <w:tc>
          <w:tcPr>
            <w:tcW w:type="dxa" w:w="4968"/>
            <w:shd w:fill="17365D"/>
          </w:tcPr>
          <w:p>
            <w:r>
              <w:rPr>
                <w:b/>
                <w:color w:val="FFFFFF"/>
                <w:sz w:val="18"/>
              </w:rPr>
              <w:t>Abandonment rate</w:t>
            </w:r>
          </w:p>
        </w:tc>
      </w:tr>
      <w:tr>
        <w:tc>
          <w:tcPr>
            <w:tcW w:type="dxa" w:w="4968"/>
          </w:tcPr>
          <w:p>
            <w:r>
              <w:rPr>
                <w:sz w:val="18"/>
              </w:rPr>
              <w:t>18–25</w:t>
            </w:r>
          </w:p>
        </w:tc>
        <w:tc>
          <w:tcPr>
            <w:tcW w:type="dxa" w:w="4968"/>
          </w:tcPr>
          <w:p>
            <w:r>
              <w:rPr>
                <w:sz w:val="18"/>
              </w:rPr>
              <w:t>49.6%</w:t>
            </w:r>
          </w:p>
        </w:tc>
      </w:tr>
      <w:tr>
        <w:tc>
          <w:tcPr>
            <w:tcW w:type="dxa" w:w="4968"/>
          </w:tcPr>
          <w:p>
            <w:r>
              <w:rPr>
                <w:sz w:val="18"/>
              </w:rPr>
              <w:t>26–35</w:t>
            </w:r>
          </w:p>
        </w:tc>
        <w:tc>
          <w:tcPr>
            <w:tcW w:type="dxa" w:w="4968"/>
          </w:tcPr>
          <w:p>
            <w:r>
              <w:rPr>
                <w:sz w:val="18"/>
              </w:rPr>
              <w:t>50.0%</w:t>
            </w:r>
          </w:p>
        </w:tc>
      </w:tr>
      <w:tr>
        <w:tc>
          <w:tcPr>
            <w:tcW w:type="dxa" w:w="4968"/>
          </w:tcPr>
          <w:p>
            <w:r>
              <w:rPr>
                <w:sz w:val="18"/>
              </w:rPr>
              <w:t>36–45</w:t>
            </w:r>
          </w:p>
        </w:tc>
        <w:tc>
          <w:tcPr>
            <w:tcW w:type="dxa" w:w="4968"/>
          </w:tcPr>
          <w:p>
            <w:r>
              <w:rPr>
                <w:sz w:val="18"/>
              </w:rPr>
              <w:t>50.0%</w:t>
            </w:r>
          </w:p>
        </w:tc>
      </w:tr>
      <w:tr>
        <w:tc>
          <w:tcPr>
            <w:tcW w:type="dxa" w:w="4968"/>
          </w:tcPr>
          <w:p>
            <w:r>
              <w:rPr>
                <w:sz w:val="18"/>
              </w:rPr>
              <w:t>46–55</w:t>
            </w:r>
          </w:p>
        </w:tc>
        <w:tc>
          <w:tcPr>
            <w:tcW w:type="dxa" w:w="4968"/>
          </w:tcPr>
          <w:p>
            <w:r>
              <w:rPr>
                <w:sz w:val="18"/>
              </w:rPr>
              <w:t>50.5%</w:t>
            </w:r>
          </w:p>
        </w:tc>
      </w:tr>
      <w:tr>
        <w:tc>
          <w:tcPr>
            <w:tcW w:type="dxa" w:w="4968"/>
          </w:tcPr>
          <w:p>
            <w:r>
              <w:rPr>
                <w:sz w:val="18"/>
              </w:rPr>
              <w:t>56+</w:t>
            </w:r>
          </w:p>
        </w:tc>
        <w:tc>
          <w:tcPr>
            <w:tcW w:type="dxa" w:w="4968"/>
          </w:tcPr>
          <w:p>
            <w:r>
              <w:rPr>
                <w:sz w:val="18"/>
              </w:rPr>
              <w:t>49.6%</w:t>
            </w:r>
          </w:p>
        </w:tc>
      </w:tr>
    </w:tbl>
    <w:p/>
    <w:p>
      <w:r>
        <w:t>Insight: The rates remain close to 50% across age groups. The data does not show a clear age-related abandonment pattern. Maintain an accessible checkout experience for all customers.</w:t>
      </w:r>
    </w:p>
    <w:p>
      <w:pPr>
        <w:pStyle w:val="Heading1"/>
      </w:pPr>
      <w:r>
        <w:t>13. Correlation Heatmap and Scatter Plots</w:t>
      </w:r>
    </w:p>
    <w:p>
      <w:r>
        <w:t>The reported correlation matrix shows correlations close to zero among the selected numerical variables, apart from each variable's correlation with itself. This means no strong linear relationship is apparent among these measures. It does not prove that the variables have no relationship with abandonment: non-linear effects, interactions, and checkout-stage behavior may not be captured.</w:t>
      </w:r>
    </w:p>
    <w:p>
      <w:r>
        <w:t>Next step: examine checkout-stage exits, payment failures, delivery estimates, product availability, and time-stamped customer events.</w:t>
      </w:r>
    </w:p>
    <w:p>
      <w:pPr>
        <w:pStyle w:val="Heading1"/>
      </w:pPr>
      <w:r>
        <w:t>14. Prioritized Business Recommendations</w:t>
      </w:r>
    </w:p>
    <w:p>
      <w:pPr>
        <w:pStyle w:val="ListNumber"/>
      </w:pPr>
      <w:r>
        <w:rPr>
          <w:b/>
        </w:rPr>
        <w:t xml:space="preserve">Priority 1 — Improve checkout: </w:t>
      </w:r>
      <w:r>
        <w:t>Simplify forms, reduce unnecessary steps, and show total costs, delivery estimates, and return policies clearly. Track completion at every stage.</w:t>
      </w:r>
    </w:p>
    <w:p>
      <w:pPr>
        <w:pStyle w:val="ListNumber"/>
      </w:pPr>
      <w:r>
        <w:rPr>
          <w:b/>
        </w:rPr>
        <w:t xml:space="preserve">Priority 2 — Investigate payment failures: </w:t>
      </w:r>
      <w:r>
        <w:t>Capture payment attempts, errors, gateway failures, and successful transactions. Offer alternative payment methods when appropriate.</w:t>
      </w:r>
    </w:p>
    <w:p>
      <w:pPr>
        <w:pStyle w:val="ListNumber"/>
      </w:pPr>
      <w:r>
        <w:rPr>
          <w:b/>
        </w:rPr>
        <w:t xml:space="preserve">Priority 3 — Recover abandoned carts: </w:t>
      </w:r>
      <w:r>
        <w:t>Test reminders, saved carts, and relevant offers for eligible customers. Measure incremental recovered orders rather than reminder clicks alone.</w:t>
      </w:r>
    </w:p>
    <w:p>
      <w:pPr>
        <w:pStyle w:val="ListNumber"/>
      </w:pPr>
      <w:r>
        <w:rPr>
          <w:b/>
        </w:rPr>
        <w:t xml:space="preserve">Priority 4 — Improve journey tracking: </w:t>
      </w:r>
      <w:r>
        <w:t>Collect funnel events, checkout errors, delivery promises, payment outcomes, and campaign information.</w:t>
      </w:r>
    </w:p>
    <w:p>
      <w:pPr>
        <w:pStyle w:val="ListNumber"/>
      </w:pPr>
      <w:r>
        <w:rPr>
          <w:b/>
        </w:rPr>
        <w:t xml:space="preserve">Priority 5 — Test before scaling: </w:t>
      </w:r>
      <w:r>
        <w:t>Use controlled A/B tests and evaluate conversion, recovered revenue, profit, and payment success.</w:t>
      </w:r>
    </w:p>
    <w:p>
      <w:pPr>
        <w:pStyle w:val="Heading1"/>
      </w:pPr>
      <w:r>
        <w:t>15. KPIs to Monitor</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8"/>
              </w:rPr>
              <w:t>KPI</w:t>
            </w:r>
          </w:p>
        </w:tc>
        <w:tc>
          <w:tcPr>
            <w:tcW w:type="dxa" w:w="4968"/>
            <w:shd w:fill="17365D"/>
          </w:tcPr>
          <w:p>
            <w:r>
              <w:rPr>
                <w:b/>
                <w:color w:val="FFFFFF"/>
                <w:sz w:val="18"/>
              </w:rPr>
              <w:t>Business purpose</w:t>
            </w:r>
          </w:p>
        </w:tc>
      </w:tr>
      <w:tr>
        <w:tc>
          <w:tcPr>
            <w:tcW w:type="dxa" w:w="4968"/>
          </w:tcPr>
          <w:p>
            <w:r>
              <w:rPr>
                <w:sz w:val="18"/>
              </w:rPr>
              <w:t>Cart abandonment rate</w:t>
            </w:r>
          </w:p>
        </w:tc>
        <w:tc>
          <w:tcPr>
            <w:tcW w:type="dxa" w:w="4968"/>
          </w:tcPr>
          <w:p>
            <w:r>
              <w:rPr>
                <w:sz w:val="18"/>
              </w:rPr>
              <w:t>Measures the proportion of eligible carts that do not convert.</w:t>
            </w:r>
          </w:p>
        </w:tc>
      </w:tr>
      <w:tr>
        <w:tc>
          <w:tcPr>
            <w:tcW w:type="dxa" w:w="4968"/>
          </w:tcPr>
          <w:p>
            <w:r>
              <w:rPr>
                <w:sz w:val="18"/>
              </w:rPr>
              <w:t>Checkout completion rate</w:t>
            </w:r>
          </w:p>
        </w:tc>
        <w:tc>
          <w:tcPr>
            <w:tcW w:type="dxa" w:w="4968"/>
          </w:tcPr>
          <w:p>
            <w:r>
              <w:rPr>
                <w:sz w:val="18"/>
              </w:rPr>
              <w:t>Shows whether customers finish checkout.</w:t>
            </w:r>
          </w:p>
        </w:tc>
      </w:tr>
      <w:tr>
        <w:tc>
          <w:tcPr>
            <w:tcW w:type="dxa" w:w="4968"/>
          </w:tcPr>
          <w:p>
            <w:r>
              <w:rPr>
                <w:sz w:val="18"/>
              </w:rPr>
              <w:t>Payment success rate</w:t>
            </w:r>
          </w:p>
        </w:tc>
        <w:tc>
          <w:tcPr>
            <w:tcW w:type="dxa" w:w="4968"/>
          </w:tcPr>
          <w:p>
            <w:r>
              <w:rPr>
                <w:sz w:val="18"/>
              </w:rPr>
              <w:t>Reveals payment-related friction.</w:t>
            </w:r>
          </w:p>
        </w:tc>
      </w:tr>
      <w:tr>
        <w:tc>
          <w:tcPr>
            <w:tcW w:type="dxa" w:w="4968"/>
          </w:tcPr>
          <w:p>
            <w:r>
              <w:rPr>
                <w:sz w:val="18"/>
              </w:rPr>
              <w:t>Cart recovery rate</w:t>
            </w:r>
          </w:p>
        </w:tc>
        <w:tc>
          <w:tcPr>
            <w:tcW w:type="dxa" w:w="4968"/>
          </w:tcPr>
          <w:p>
            <w:r>
              <w:rPr>
                <w:sz w:val="18"/>
              </w:rPr>
              <w:t>Measures how many abandoned carts later convert.</w:t>
            </w:r>
          </w:p>
        </w:tc>
      </w:tr>
      <w:tr>
        <w:tc>
          <w:tcPr>
            <w:tcW w:type="dxa" w:w="4968"/>
          </w:tcPr>
          <w:p>
            <w:r>
              <w:rPr>
                <w:sz w:val="18"/>
              </w:rPr>
              <w:t>Average order value</w:t>
            </w:r>
          </w:p>
        </w:tc>
        <w:tc>
          <w:tcPr>
            <w:tcW w:type="dxa" w:w="4968"/>
          </w:tcPr>
          <w:p>
            <w:r>
              <w:rPr>
                <w:sz w:val="18"/>
              </w:rPr>
              <w:t>Shows the average value of completed orders.</w:t>
            </w:r>
          </w:p>
        </w:tc>
      </w:tr>
      <w:tr>
        <w:tc>
          <w:tcPr>
            <w:tcW w:type="dxa" w:w="4968"/>
          </w:tcPr>
          <w:p>
            <w:r>
              <w:rPr>
                <w:sz w:val="18"/>
              </w:rPr>
              <w:t>Recovered revenue</w:t>
            </w:r>
          </w:p>
        </w:tc>
        <w:tc>
          <w:tcPr>
            <w:tcW w:type="dxa" w:w="4968"/>
          </w:tcPr>
          <w:p>
            <w:r>
              <w:rPr>
                <w:sz w:val="18"/>
              </w:rPr>
              <w:t>Quantifies revenue associated with recovery efforts.</w:t>
            </w:r>
          </w:p>
        </w:tc>
      </w:tr>
      <w:tr>
        <w:tc>
          <w:tcPr>
            <w:tcW w:type="dxa" w:w="4968"/>
          </w:tcPr>
          <w:p>
            <w:r>
              <w:rPr>
                <w:sz w:val="18"/>
              </w:rPr>
              <w:t>Net profit after discounts</w:t>
            </w:r>
          </w:p>
        </w:tc>
        <w:tc>
          <w:tcPr>
            <w:tcW w:type="dxa" w:w="4968"/>
          </w:tcPr>
          <w:p>
            <w:r>
              <w:rPr>
                <w:sz w:val="18"/>
              </w:rPr>
              <w:t>Checks whether conversion improvements are profitable.</w:t>
            </w:r>
          </w:p>
        </w:tc>
      </w:tr>
    </w:tbl>
    <w:p/>
    <w:p>
      <w:r>
        <w:t>Define each metric consistently. If one customer can create multiple carts, calculate cart-level rates from identifiable cart or session events rather than treating every record as a unique customer.</w:t>
      </w:r>
    </w:p>
    <w:p>
      <w:pPr>
        <w:pStyle w:val="Heading1"/>
      </w:pPr>
      <w:r>
        <w:t>16. Limitations of the Analysis</w:t>
      </w:r>
    </w:p>
    <w:p>
      <w:pPr>
        <w:pStyle w:val="ListBullet"/>
      </w:pPr>
      <w:r>
        <w:t>The dataset does not establish the reasons customers abandon carts.</w:t>
      </w:r>
    </w:p>
    <w:p>
      <w:pPr>
        <w:pStyle w:val="ListBullet"/>
      </w:pPr>
      <w:r>
        <w:t>Most differences between groups are small; observed rankings do not necessarily indicate meaningful differences.</w:t>
      </w:r>
    </w:p>
    <w:p>
      <w:pPr>
        <w:pStyle w:val="ListBullet"/>
      </w:pPr>
      <w:r>
        <w:t>No statistical significance tests or confidence intervals are included in the reported comparisons.</w:t>
      </w:r>
    </w:p>
    <w:p>
      <w:pPr>
        <w:pStyle w:val="ListBullet"/>
      </w:pPr>
      <w:r>
        <w:t>The analysis does not measure the revenue recovered from recommended interventions or prove that a change will reduce abandonment.</w:t>
      </w:r>
    </w:p>
    <w:p>
      <w:pPr>
        <w:pStyle w:val="ListBullet"/>
      </w:pPr>
      <w:r>
        <w:t>Checkout-step exits, payment failures, delivery promises, and event timestamps would improve the analysis.</w:t>
      </w:r>
    </w:p>
    <w:p>
      <w:pPr>
        <w:pStyle w:val="ListBullet"/>
      </w:pPr>
      <w:r>
        <w:t>The currency and whether the data represents real transactions or simulated data are not established by the analysis.</w:t>
      </w:r>
    </w:p>
    <w:p>
      <w:pPr>
        <w:pStyle w:val="Heading1"/>
      </w:pPr>
      <w:r>
        <w:t>17. Final Conclusion</w:t>
      </w:r>
    </w:p>
    <w:p>
      <w:r>
        <w:t>The Cart Abandonment Analysis project examined 38,172 records to understand shopping behavior and identify areas for further investigation. Of these, 19,076 were marked abandoned, representing approximately 49.97%, while 50.03% were marked as completed purchases.</w:t>
      </w:r>
    </w:p>
    <w:p>
      <w:r>
        <w:t>The analysis compared abandonment across device types, product categories, traffic sources, payment methods, customer types, gender, age groups, cart values, discounts, shipping costs, session duration, pages viewed, and previous purchases. Most groups showed rates close to 50%, and no single variable clearly explained the overall problem.</w:t>
      </w:r>
    </w:p>
    <w:p>
      <w:r>
        <w:t>The findings support investigating checkout usability, payment reliability, shipping-cost transparency, and cart-recovery strategies. Businesses should track checkout-stage exits, payment failures, and subsequent purchases to understand where customers drop off and whether interventions improve conversion.</w:t>
      </w:r>
    </w:p>
    <w:p>
      <w:r>
        <w:t>Overall, the project demonstrates how Python-based data cleaning, exploratory data analysis, statistical summaries, and visualizations can turn customer records into actionable business questions. The key result is that the dataset establishes the scale of abandonment and highlights areas for further investigation, rather than proving a single cause.</w:t>
      </w:r>
    </w:p>
    <w:p>
      <w:pPr>
        <w:pStyle w:val="Heading1"/>
      </w:pPr>
      <w:r>
        <w:t>Source and Interpretation Note</w:t>
      </w:r>
    </w:p>
    <w:p>
      <w:r>
        <w:t>This report is based on the findings and values presented in the preceding analysis of the uploaded Cart Abandonment notebook and cleaned CSV. Rates are treated as descriptive results, not causal evidence. Before external presentation, verify every figure against the notebook outputs and cleaned dataset, especially subgroup rates, monetary units, and whether the records are unique carts, sessions, or customers.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Cart Abandonment Analysis • Final Business Insights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CART ABANDONMENT ANALYSIS | BUSINESS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