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i w:val="0"/>
          <w:sz w:val="27"/>
        </w:rPr>
        <w:t>INFORMATION SECURITY AND DATA HANDLING POLICY</w:t>
      </w:r>
    </w:p>
    <w:p>
      <w:pPr>
        <w:jc w:val="center"/>
      </w:pPr>
      <w:r>
        <w:rPr>
          <w:b w:val="0"/>
          <w:i/>
          <w:sz w:val="20"/>
        </w:rPr>
        <w:t>Document No. SPW/IT/POL/007   ·   Version 3.2   ·   Effective from 01 August 2026</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701"/>
            <w:shd w:val="clear" w:color="auto" w:fill="D9E2F3"/>
          </w:tcPr>
          <w:p>
            <w:pPr>
              <w:spacing w:after="0"/>
            </w:pPr>
            <w:r>
              <w:rPr>
                <w:b/>
                <w:i w:val="0"/>
                <w:sz w:val="18"/>
              </w:rPr>
              <w:t>Document owner</w:t>
            </w:r>
          </w:p>
        </w:tc>
        <w:tc>
          <w:tcPr>
            <w:tcW w:type="dxa" w:w="2041"/>
            <w:shd w:val="clear" w:color="auto" w:fill="D9E2F3"/>
          </w:tcPr>
          <w:p>
            <w:pPr>
              <w:spacing w:after="0"/>
            </w:pPr>
            <w:r>
              <w:rPr>
                <w:b/>
                <w:i w:val="0"/>
                <w:sz w:val="18"/>
              </w:rPr>
              <w:t>Prepared by</w:t>
            </w:r>
          </w:p>
        </w:tc>
        <w:tc>
          <w:tcPr>
            <w:tcW w:type="dxa" w:w="2041"/>
            <w:shd w:val="clear" w:color="auto" w:fill="D9E2F3"/>
          </w:tcPr>
          <w:p>
            <w:pPr>
              <w:spacing w:after="0"/>
            </w:pPr>
            <w:r>
              <w:rPr>
                <w:b/>
                <w:i w:val="0"/>
                <w:sz w:val="18"/>
              </w:rPr>
              <w:t>Reviewed by</w:t>
            </w:r>
          </w:p>
        </w:tc>
        <w:tc>
          <w:tcPr>
            <w:tcW w:type="dxa" w:w="1928"/>
            <w:shd w:val="clear" w:color="auto" w:fill="D9E2F3"/>
          </w:tcPr>
          <w:p>
            <w:pPr>
              <w:spacing w:after="0"/>
            </w:pPr>
            <w:r>
              <w:rPr>
                <w:b/>
                <w:i w:val="0"/>
                <w:sz w:val="18"/>
              </w:rPr>
              <w:t>Approved by</w:t>
            </w:r>
          </w:p>
        </w:tc>
        <w:tc>
          <w:tcPr>
            <w:tcW w:type="dxa" w:w="1587"/>
            <w:shd w:val="clear" w:color="auto" w:fill="D9E2F3"/>
          </w:tcPr>
          <w:p>
            <w:pPr>
              <w:spacing w:after="0"/>
            </w:pPr>
            <w:r>
              <w:rPr>
                <w:b/>
                <w:i w:val="0"/>
                <w:sz w:val="18"/>
              </w:rPr>
              <w:t>Next review</w:t>
            </w:r>
          </w:p>
        </w:tc>
      </w:tr>
      <w:tr>
        <w:tc>
          <w:tcPr>
            <w:tcW w:type="dxa" w:w="1701"/>
          </w:tcPr>
          <w:p>
            <w:pPr>
              <w:spacing w:after="0"/>
            </w:pPr>
            <w:r>
              <w:rPr>
                <w:b w:val="0"/>
                <w:i w:val="0"/>
                <w:sz w:val="18"/>
              </w:rPr>
              <w:t>IT &amp; Compliance</w:t>
            </w:r>
          </w:p>
        </w:tc>
        <w:tc>
          <w:tcPr>
            <w:tcW w:type="dxa" w:w="2041"/>
          </w:tcPr>
          <w:p>
            <w:pPr>
              <w:spacing w:after="0"/>
            </w:pPr>
            <w:r>
              <w:rPr>
                <w:b w:val="0"/>
                <w:i w:val="0"/>
                <w:sz w:val="18"/>
              </w:rPr>
              <w:t>Manish Gohil, IT Manager</w:t>
            </w:r>
          </w:p>
        </w:tc>
        <w:tc>
          <w:tcPr>
            <w:tcW w:type="dxa" w:w="2041"/>
          </w:tcPr>
          <w:p>
            <w:pPr>
              <w:spacing w:after="0"/>
            </w:pPr>
            <w:r>
              <w:rPr>
                <w:b w:val="0"/>
                <w:i w:val="0"/>
                <w:sz w:val="18"/>
              </w:rPr>
              <w:t>Deepa Raval, Company Secretary</w:t>
            </w:r>
          </w:p>
        </w:tc>
        <w:tc>
          <w:tcPr>
            <w:tcW w:type="dxa" w:w="1928"/>
          </w:tcPr>
          <w:p>
            <w:pPr>
              <w:spacing w:after="0"/>
            </w:pPr>
            <w:r>
              <w:rPr>
                <w:b w:val="0"/>
                <w:i w:val="0"/>
                <w:sz w:val="18"/>
              </w:rPr>
              <w:t>Board (22.07.2026)</w:t>
            </w:r>
          </w:p>
        </w:tc>
        <w:tc>
          <w:tcPr>
            <w:tcW w:type="dxa" w:w="1587"/>
          </w:tcPr>
          <w:p>
            <w:pPr>
              <w:spacing w:after="0"/>
            </w:pPr>
            <w:r>
              <w:rPr>
                <w:b w:val="0"/>
                <w:i w:val="0"/>
                <w:sz w:val="18"/>
              </w:rPr>
              <w:t>July 2027</w:t>
            </w:r>
          </w:p>
        </w:tc>
      </w:tr>
    </w:tbl>
    <w:p/>
    <w:p>
      <w:pPr>
        <w:keepNext/>
        <w:spacing w:before="160"/>
      </w:pPr>
      <w:r>
        <w:rPr>
          <w:b/>
          <w:i w:val="0"/>
          <w:sz w:val="22"/>
        </w:rPr>
        <w:t>1. Purpose and Objectives</w:t>
      </w:r>
    </w:p>
    <w:p>
      <w:pPr>
        <w:jc w:val="both"/>
      </w:pPr>
      <w:r>
        <w:rPr>
          <w:b w:val="0"/>
          <w:i w:val="0"/>
        </w:rPr>
        <w:t>This Policy sets out the rules that every employee, trainee, contractor and consultant of Shreeji Polymer Works Pvt. Ltd. (“the Company”) must follow when creating, accessing, storing, sharing or disposing of Company information. Its objective is to protect the confidentiality, integrity and availability of information belonging to the Company, its customers and its employees, and to ensure compliance with the Information Technology Act, 2000, the Digital Personal Data Protection Act, 2023 and the contractual obligations the Company has accepted towards its customers. Information is one of the most valuable assets of the Company, and its loss, theft or misuse can cause financial loss, legal liability and lasting damage to the Company’s reputation.</w:t>
      </w:r>
    </w:p>
    <w:p>
      <w:pPr>
        <w:jc w:val="both"/>
      </w:pPr>
      <w:r>
        <w:rPr>
          <w:b w:val="0"/>
          <w:i w:val="0"/>
        </w:rPr>
        <w:t>Every person covered by this Policy is personally responsible for the information they handle. Ignorance of this Policy will not be accepted as an excuse for a breach. All classified and confidential material must be handled strictly in accordance with the rules set out below, and employees must not disclose such material to any person who does not have a clear business need to know it.</w:t>
      </w:r>
    </w:p>
    <w:p>
      <w:pPr>
        <w:keepNext/>
        <w:spacing w:before="160"/>
      </w:pPr>
      <w:r>
        <w:rPr>
          <w:b/>
          <w:i w:val="0"/>
          <w:sz w:val="22"/>
        </w:rPr>
        <w:t>2. Scope</w:t>
      </w:r>
    </w:p>
    <w:p>
      <w:pPr>
        <w:jc w:val="both"/>
      </w:pPr>
      <w:r>
        <w:rPr>
          <w:b w:val="0"/>
          <w:i w:val="0"/>
        </w:rPr>
        <w:t>The Policy applies to all information assets of the Company, whether in electronic or paper form, including the ERP system, the production planning server at the Vatva plant, e-mail accounts on the Company domain, laptops and mobile phones issued by the Company, cloud storage subscribed by the Company, and personal devices used to access Company e-mail. It applies at the registered office, the Vatva and Sanand plants, the Bharuch expansion site and any location, including an employee’s home, from which Company work is performed.</w:t>
      </w:r>
    </w:p>
    <w:p>
      <w:pPr>
        <w:keepNext/>
        <w:spacing w:before="160"/>
      </w:pPr>
      <w:r>
        <w:rPr>
          <w:b/>
          <w:i w:val="0"/>
          <w:sz w:val="22"/>
        </w:rPr>
        <w:t>3. Definitions</w:t>
      </w:r>
    </w:p>
    <w:p>
      <w:pPr>
        <w:tabs>
          <w:tab w:pos="567" w:val="left"/>
        </w:tabs>
        <w:ind w:left="567" w:hanging="567"/>
        <w:jc w:val="both"/>
      </w:pPr>
      <w:r>
        <w:rPr>
          <w:b w:val="0"/>
          <w:i w:val="0"/>
        </w:rPr>
        <w:t>3.1</w:t>
        <w:tab/>
      </w:r>
      <w:r>
        <w:rPr>
          <w:b/>
          <w:i w:val="0"/>
        </w:rPr>
        <w:t>Information asset</w:t>
      </w:r>
      <w:r>
        <w:rPr>
          <w:b w:val="0"/>
          <w:i w:val="0"/>
        </w:rPr>
        <w:t xml:space="preserve"> means any data, document, system, device or service that has value to the Company and that is owned, licensed or held by it.</w:t>
      </w:r>
    </w:p>
    <w:p>
      <w:pPr>
        <w:tabs>
          <w:tab w:pos="567" w:val="left"/>
        </w:tabs>
        <w:ind w:left="567" w:hanging="567"/>
        <w:jc w:val="both"/>
      </w:pPr>
      <w:r>
        <w:rPr>
          <w:b w:val="0"/>
          <w:i w:val="0"/>
        </w:rPr>
        <w:t>3.2</w:t>
        <w:tab/>
      </w:r>
      <w:r>
        <w:rPr>
          <w:b/>
          <w:i w:val="0"/>
        </w:rPr>
        <w:t>Personal data</w:t>
      </w:r>
      <w:r>
        <w:rPr>
          <w:b w:val="0"/>
          <w:i w:val="0"/>
        </w:rPr>
        <w:t xml:space="preserve"> means any data about an individual who is identifiable by or in relation to such data, including name, contact details, Aadhaar number, PAN, bank account details and salary information.</w:t>
      </w:r>
    </w:p>
    <w:p>
      <w:pPr>
        <w:tabs>
          <w:tab w:pos="567" w:val="left"/>
        </w:tabs>
        <w:ind w:left="567" w:hanging="567"/>
        <w:jc w:val="both"/>
      </w:pPr>
      <w:r>
        <w:rPr>
          <w:b w:val="0"/>
          <w:i w:val="0"/>
        </w:rPr>
        <w:t>3.3</w:t>
        <w:tab/>
      </w:r>
      <w:r>
        <w:rPr>
          <w:b/>
          <w:i w:val="0"/>
        </w:rPr>
        <w:t>Information owner</w:t>
      </w:r>
      <w:r>
        <w:rPr>
          <w:b w:val="0"/>
          <w:i w:val="0"/>
        </w:rPr>
        <w:t xml:space="preserve"> means the head of the department that created or is primarily responsible for an information asset.</w:t>
      </w:r>
    </w:p>
    <w:p>
      <w:pPr>
        <w:tabs>
          <w:tab w:pos="567" w:val="left"/>
        </w:tabs>
        <w:ind w:left="567" w:hanging="567"/>
        <w:jc w:val="both"/>
      </w:pPr>
      <w:r>
        <w:rPr>
          <w:b w:val="0"/>
          <w:i w:val="0"/>
        </w:rPr>
        <w:t>3.4</w:t>
        <w:tab/>
      </w:r>
      <w:r>
        <w:rPr>
          <w:b/>
          <w:i w:val="0"/>
        </w:rPr>
        <w:t>Confidential information</w:t>
      </w:r>
      <w:r>
        <w:rPr>
          <w:b w:val="0"/>
          <w:i w:val="0"/>
        </w:rPr>
        <w:t xml:space="preserve"> means any information marked confidential, and any information which, by its nature, a reasonable person would understand to be confidential, including cost sheets, customer drawings, vendor rates, pricing and employee records.</w:t>
      </w:r>
    </w:p>
    <w:p>
      <w:pPr>
        <w:keepNext/>
        <w:spacing w:before="160"/>
      </w:pPr>
      <w:r>
        <w:rPr>
          <w:b/>
          <w:i w:val="0"/>
          <w:sz w:val="22"/>
        </w:rPr>
        <w:t>4. Information Classification</w:t>
      </w:r>
    </w:p>
    <w:p>
      <w:pPr>
        <w:jc w:val="both"/>
      </w:pPr>
      <w:r>
        <w:rPr>
          <w:b w:val="0"/>
          <w:i w:val="0"/>
        </w:rPr>
        <w:t>All information must be classified by its owner at the time of creation, and handled according to the table below. Where a document contains information of more than one class, it shall be handled according to the highest class. Material classified as Restricted is the most sensitive category and must never be disclosed outside the Company without the written approval of the information owner.</w:t>
      </w:r>
    </w:p>
    <w:tbl>
      <w:tblPr>
        <w:tblStyle w:val="TableGrid"/>
        <w:tblW w:type="auto" w:w="0"/>
        <w:jc w:val="center"/>
        <w:tblLook w:firstColumn="1" w:firstRow="1" w:lastColumn="0" w:lastRow="0" w:noHBand="0" w:noVBand="1" w:val="04A0"/>
      </w:tblPr>
      <w:tblGrid>
        <w:gridCol w:w="3099"/>
        <w:gridCol w:w="3099"/>
        <w:gridCol w:w="3099"/>
      </w:tblGrid>
      <w:tr>
        <w:tc>
          <w:tcPr>
            <w:tcW w:type="dxa" w:w="1474"/>
            <w:shd w:val="clear" w:color="auto" w:fill="D9E2F3"/>
          </w:tcPr>
          <w:p>
            <w:pPr>
              <w:spacing w:after="0"/>
            </w:pPr>
            <w:r>
              <w:rPr>
                <w:b/>
                <w:i w:val="0"/>
                <w:sz w:val="18"/>
              </w:rPr>
              <w:t>Class</w:t>
            </w:r>
          </w:p>
        </w:tc>
        <w:tc>
          <w:tcPr>
            <w:tcW w:type="dxa" w:w="3515"/>
            <w:shd w:val="clear" w:color="auto" w:fill="D9E2F3"/>
          </w:tcPr>
          <w:p>
            <w:pPr>
              <w:spacing w:after="0"/>
            </w:pPr>
            <w:r>
              <w:rPr>
                <w:b/>
                <w:i w:val="0"/>
                <w:sz w:val="18"/>
              </w:rPr>
              <w:t>Examples</w:t>
            </w:r>
          </w:p>
        </w:tc>
        <w:tc>
          <w:tcPr>
            <w:tcW w:type="dxa" w:w="4309"/>
            <w:shd w:val="clear" w:color="auto" w:fill="D9E2F3"/>
          </w:tcPr>
          <w:p>
            <w:pPr>
              <w:spacing w:after="0"/>
            </w:pPr>
            <w:r>
              <w:rPr>
                <w:b/>
                <w:i w:val="0"/>
                <w:sz w:val="18"/>
              </w:rPr>
              <w:t>Handling requirements</w:t>
            </w:r>
          </w:p>
        </w:tc>
      </w:tr>
      <w:tr>
        <w:tc>
          <w:tcPr>
            <w:tcW w:type="dxa" w:w="1474"/>
          </w:tcPr>
          <w:p>
            <w:pPr>
              <w:spacing w:after="0"/>
            </w:pPr>
            <w:r>
              <w:rPr>
                <w:b w:val="0"/>
                <w:i w:val="0"/>
                <w:sz w:val="18"/>
              </w:rPr>
              <w:t>Public</w:t>
            </w:r>
          </w:p>
        </w:tc>
        <w:tc>
          <w:tcPr>
            <w:tcW w:type="dxa" w:w="3515"/>
          </w:tcPr>
          <w:p>
            <w:pPr>
              <w:spacing w:after="0"/>
            </w:pPr>
            <w:r>
              <w:rPr>
                <w:b w:val="0"/>
                <w:i w:val="0"/>
                <w:sz w:val="18"/>
              </w:rPr>
              <w:t>Product brochures, published price lists, website content</w:t>
            </w:r>
          </w:p>
        </w:tc>
        <w:tc>
          <w:tcPr>
            <w:tcW w:type="dxa" w:w="4309"/>
          </w:tcPr>
          <w:p>
            <w:pPr>
              <w:spacing w:after="0"/>
            </w:pPr>
            <w:r>
              <w:rPr>
                <w:b w:val="0"/>
                <w:i w:val="0"/>
                <w:sz w:val="18"/>
              </w:rPr>
              <w:t>May be shared freely once approved by Marketing.</w:t>
            </w:r>
          </w:p>
        </w:tc>
      </w:tr>
      <w:tr>
        <w:tc>
          <w:tcPr>
            <w:tcW w:type="dxa" w:w="1474"/>
          </w:tcPr>
          <w:p>
            <w:pPr>
              <w:spacing w:after="0"/>
            </w:pPr>
            <w:r>
              <w:rPr>
                <w:b w:val="0"/>
                <w:i w:val="0"/>
                <w:sz w:val="18"/>
              </w:rPr>
              <w:t>Internal</w:t>
            </w:r>
          </w:p>
        </w:tc>
        <w:tc>
          <w:tcPr>
            <w:tcW w:type="dxa" w:w="3515"/>
          </w:tcPr>
          <w:p>
            <w:pPr>
              <w:spacing w:after="0"/>
            </w:pPr>
            <w:r>
              <w:rPr>
                <w:b w:val="0"/>
                <w:i w:val="0"/>
                <w:sz w:val="18"/>
              </w:rPr>
              <w:t>Circulars, internal procedures, production schedules</w:t>
            </w:r>
          </w:p>
        </w:tc>
        <w:tc>
          <w:tcPr>
            <w:tcW w:type="dxa" w:w="4309"/>
          </w:tcPr>
          <w:p>
            <w:pPr>
              <w:spacing w:after="0"/>
            </w:pPr>
            <w:r>
              <w:rPr>
                <w:b w:val="0"/>
                <w:i w:val="0"/>
                <w:sz w:val="18"/>
              </w:rPr>
              <w:t>Share only within the Company; do not forward outside the domain.</w:t>
            </w:r>
          </w:p>
        </w:tc>
      </w:tr>
      <w:tr>
        <w:tc>
          <w:tcPr>
            <w:tcW w:type="dxa" w:w="1474"/>
          </w:tcPr>
          <w:p>
            <w:pPr>
              <w:spacing w:after="0"/>
            </w:pPr>
            <w:r>
              <w:rPr>
                <w:b w:val="0"/>
                <w:i w:val="0"/>
                <w:sz w:val="18"/>
              </w:rPr>
              <w:t>Confidential</w:t>
            </w:r>
          </w:p>
        </w:tc>
        <w:tc>
          <w:tcPr>
            <w:tcW w:type="dxa" w:w="3515"/>
          </w:tcPr>
          <w:p>
            <w:pPr>
              <w:spacing w:after="0"/>
            </w:pPr>
            <w:r>
              <w:rPr>
                <w:b w:val="0"/>
                <w:i w:val="0"/>
                <w:sz w:val="18"/>
              </w:rPr>
              <w:t>Customer drawings, cost sheets, vendor rates, employee records</w:t>
            </w:r>
          </w:p>
        </w:tc>
        <w:tc>
          <w:tcPr>
            <w:tcW w:type="dxa" w:w="4309"/>
          </w:tcPr>
          <w:p>
            <w:pPr>
              <w:spacing w:after="0"/>
            </w:pPr>
            <w:r>
              <w:rPr>
                <w:b w:val="0"/>
                <w:i w:val="0"/>
                <w:sz w:val="18"/>
              </w:rPr>
              <w:t>Share on a need-to-know basis; encrypt before sending externally; do not disclose to outsiders.</w:t>
            </w:r>
          </w:p>
        </w:tc>
      </w:tr>
      <w:tr>
        <w:tc>
          <w:tcPr>
            <w:tcW w:type="dxa" w:w="1474"/>
          </w:tcPr>
          <w:p>
            <w:pPr>
              <w:spacing w:after="0"/>
            </w:pPr>
            <w:r>
              <w:rPr>
                <w:b w:val="0"/>
                <w:i w:val="0"/>
                <w:sz w:val="18"/>
              </w:rPr>
              <w:t>Restricted / Classified</w:t>
            </w:r>
          </w:p>
        </w:tc>
        <w:tc>
          <w:tcPr>
            <w:tcW w:type="dxa" w:w="3515"/>
          </w:tcPr>
          <w:p>
            <w:pPr>
              <w:spacing w:after="0"/>
            </w:pPr>
            <w:r>
              <w:rPr>
                <w:b w:val="0"/>
                <w:i w:val="0"/>
                <w:sz w:val="18"/>
              </w:rPr>
              <w:t>Board papers, bank mandates, payroll, personal data of employees</w:t>
            </w:r>
          </w:p>
        </w:tc>
        <w:tc>
          <w:tcPr>
            <w:tcW w:type="dxa" w:w="4309"/>
          </w:tcPr>
          <w:p>
            <w:pPr>
              <w:spacing w:after="0"/>
            </w:pPr>
            <w:r>
              <w:rPr>
                <w:b w:val="0"/>
                <w:i w:val="0"/>
                <w:sz w:val="18"/>
              </w:rPr>
              <w:t>Access only with written approval of the information owner; never store on personal devices; do not disclose under any circumstances.</w:t>
            </w:r>
          </w:p>
        </w:tc>
      </w:tr>
    </w:tbl>
    <w:p/>
    <w:p>
      <w:pPr>
        <w:keepNext/>
        <w:spacing w:before="160"/>
      </w:pPr>
      <w:r>
        <w:rPr>
          <w:b/>
          <w:i w:val="0"/>
          <w:sz w:val="22"/>
        </w:rPr>
        <w:t>5. Acceptable Use</w:t>
      </w:r>
    </w:p>
    <w:p>
      <w:pPr>
        <w:pStyle w:val="ListBullet"/>
        <w:jc w:val="both"/>
      </w:pPr>
      <w:r>
        <w:rPr>
          <w:b w:val="0"/>
          <w:i w:val="0"/>
        </w:rPr>
        <w:t>Company systems are provided for business purposes. Limited personal use is permitted provided it does not interfere with work or breach this Policy.</w:t>
      </w:r>
    </w:p>
    <w:p>
      <w:pPr>
        <w:pStyle w:val="ListBullet"/>
        <w:jc w:val="both"/>
      </w:pPr>
      <w:r>
        <w:rPr>
          <w:b w:val="0"/>
          <w:i w:val="0"/>
        </w:rPr>
        <w:t>Users must not install software that has not been approved by the IT department, and must not disable anti-virus or endpoint protection on any Company device.</w:t>
      </w:r>
    </w:p>
    <w:p>
      <w:pPr>
        <w:pStyle w:val="ListBullet"/>
        <w:jc w:val="both"/>
      </w:pPr>
      <w:r>
        <w:rPr>
          <w:b w:val="0"/>
          <w:i w:val="0"/>
        </w:rPr>
        <w:t>Removable media (pen drives, external hard disks) may be used only if encrypted and registered with IT.</w:t>
      </w:r>
    </w:p>
    <w:p>
      <w:pPr>
        <w:pStyle w:val="ListBullet"/>
        <w:jc w:val="both"/>
      </w:pPr>
      <w:r>
        <w:rPr>
          <w:b w:val="0"/>
          <w:i w:val="0"/>
        </w:rPr>
        <w:t>Users must lock their screens when leaving their workstations and must not share their user accounts or passwords with any other person.</w:t>
      </w:r>
    </w:p>
    <w:p>
      <w:pPr>
        <w:pStyle w:val="ListBullet"/>
        <w:jc w:val="both"/>
      </w:pPr>
      <w:r>
        <w:rPr>
          <w:b w:val="0"/>
          <w:i w:val="0"/>
        </w:rPr>
        <w:t>Users must not attempt to access any system, folder or record for which they have not been granted authorisation.</w:t>
      </w:r>
    </w:p>
    <w:p>
      <w:pPr>
        <w:pStyle w:val="ListBullet"/>
        <w:jc w:val="both"/>
      </w:pPr>
      <w:r>
        <w:rPr>
          <w:b w:val="0"/>
          <w:i w:val="0"/>
        </w:rPr>
        <w:t>Confidential and classified documents must not be left unattended on desks, printers or meeting-room tables (clean-desk rule).</w:t>
      </w:r>
    </w:p>
    <w:p>
      <w:pPr>
        <w:keepNext/>
        <w:spacing w:before="160"/>
      </w:pPr>
      <w:r>
        <w:rPr>
          <w:b/>
          <w:i w:val="0"/>
          <w:sz w:val="22"/>
        </w:rPr>
        <w:t>6. Access Control and Passwords</w:t>
      </w:r>
    </w:p>
    <w:p>
      <w:pPr>
        <w:jc w:val="both"/>
      </w:pPr>
      <w:r>
        <w:rPr>
          <w:b w:val="0"/>
          <w:i w:val="0"/>
        </w:rPr>
        <w:t>Access to systems is granted on the principle of least privilege and must be requested through the IT helpdesk with the approval of the reporting manager. Each password must be at least 12 characters long, must combine letters, numbers and special characters, and must be changed every 90 days. A password must never be written down, shared over e-mail or telephone, reused across systems, or stored in an unencrypted file. Multi-factor authentication is mandatory for e-mail access from outside the Company network and for all ERP administrator accounts. The accounts of employees who leave the Company shall be disabled on their last working day, and their access reviewed by the information owner.</w:t>
      </w:r>
    </w:p>
    <w:p>
      <w:pPr>
        <w:keepNext/>
        <w:spacing w:before="160"/>
      </w:pPr>
      <w:r>
        <w:rPr>
          <w:b/>
          <w:i w:val="0"/>
          <w:sz w:val="22"/>
        </w:rPr>
        <w:t>7. Handling of Personal Data</w:t>
      </w:r>
    </w:p>
    <w:p>
      <w:pPr>
        <w:jc w:val="both"/>
      </w:pPr>
      <w:r>
        <w:rPr>
          <w:b w:val="0"/>
          <w:i w:val="0"/>
        </w:rPr>
        <w:t>Personal data of employees, customers and vendors shall be collected only for a specified and lawful purpose, shall be limited to what is necessary for that purpose, and shall be retained only as long as required by law or by the purpose. Copies of Aadhaar cards shall be masked so that only the last four digits are visible, except where an unmasked copy is required by law. Personal data must not be included in documents that are circulated widely, such as policies, circulars or presentations, and must never be posted on any public platform.</w:t>
      </w:r>
    </w:p>
    <w:p>
      <w:pPr>
        <w:keepNext/>
        <w:spacing w:before="160"/>
      </w:pPr>
      <w:r>
        <w:rPr>
          <w:b/>
          <w:i w:val="0"/>
          <w:sz w:val="22"/>
        </w:rPr>
        <w:t>8. E-mail, Internet and External Sharing</w:t>
      </w:r>
    </w:p>
    <w:p>
      <w:pPr>
        <w:jc w:val="both"/>
      </w:pPr>
      <w:r>
        <w:rPr>
          <w:b w:val="0"/>
          <w:i w:val="0"/>
        </w:rPr>
        <w:t>Confidential and classified information may be sent outside the Company only through Company e-mail, in a password-protected attachment, with the password communicated through a separate channel. Use of personal e-mail accounts, messaging applications or public file-sharing websites for Company information is prohibited. All external sharing of Restricted information must be recorded in the information-sharing register maintained by the Compliance department. Employees must be alert to phishing e-mails and must never enter their Company password on any website reached through an e-mail link.</w:t>
      </w:r>
    </w:p>
    <w:p>
      <w:pPr>
        <w:keepNext/>
        <w:spacing w:before="160"/>
      </w:pPr>
      <w:r>
        <w:rPr>
          <w:b/>
          <w:i w:val="0"/>
          <w:sz w:val="22"/>
        </w:rPr>
        <w:t>9. Incident Reporting</w:t>
      </w:r>
    </w:p>
    <w:p>
      <w:pPr>
        <w:jc w:val="both"/>
      </w:pPr>
      <w:r>
        <w:rPr>
          <w:b w:val="0"/>
          <w:i w:val="0"/>
        </w:rPr>
        <w:t>Any actual or suspected loss, theft, unauthorised disclosure or misuse of information, including a lost laptop or mobile phone, a suspicious e-mail, a malware alert or a request for passwords, must be reported immediately to the IT helpdesk (extension 4410) and to the Compliance department. Early reporting allows the Company to limit the damage. Employees who report incidents in good faith will not face any adverse action, even if the incident was caused by their own mistake.</w:t>
      </w:r>
    </w:p>
    <w:p>
      <w:pPr>
        <w:keepNext/>
        <w:spacing w:before="160"/>
      </w:pPr>
      <w:r>
        <w:rPr>
          <w:b/>
          <w:i w:val="0"/>
          <w:sz w:val="22"/>
        </w:rPr>
        <w:t>10. Third Parties, Vendors and Remote Work</w:t>
      </w:r>
    </w:p>
    <w:p>
      <w:pPr>
        <w:jc w:val="both"/>
      </w:pPr>
      <w:r>
        <w:rPr>
          <w:b w:val="0"/>
          <w:i w:val="0"/>
        </w:rPr>
        <w:t>Vendors and contractors who are given access to Company information must sign a confidentiality agreement before access is granted, and their access must be limited to what their work requires and withdrawn when the engagement ends. Employees working remotely must use the Company VPN, must not allow family members to use Company devices, and must ensure that confidential information displayed on their screens cannot be seen by others. Printing of classified documents at home is not permitted.</w:t>
      </w:r>
    </w:p>
    <w:p>
      <w:pPr>
        <w:keepNext/>
        <w:spacing w:before="160"/>
      </w:pPr>
      <w:r>
        <w:rPr>
          <w:b/>
          <w:i w:val="0"/>
          <w:sz w:val="22"/>
        </w:rPr>
        <w:t>11. Backup, Retention and Disposal</w:t>
      </w:r>
    </w:p>
    <w:p>
      <w:pPr>
        <w:jc w:val="both"/>
      </w:pPr>
      <w:r>
        <w:rPr>
          <w:b w:val="0"/>
          <w:i w:val="0"/>
        </w:rPr>
        <w:t>Critical systems shall be backed up daily, and the restorability of backups shall be tested every quarter. Records shall be retained in accordance with the Company’s Record Retention Schedule; accounting records and vouchers shall be preserved for eight years as required under the Companies Act, 2013. Paper records containing Confidential or Restricted information shall be shredded; electronic media shall be securely wiped by IT before disposal or reuse.</w:t>
      </w:r>
    </w:p>
    <w:p>
      <w:pPr>
        <w:keepNext/>
        <w:spacing w:before="160"/>
      </w:pPr>
      <w:r>
        <w:rPr>
          <w:b/>
          <w:i w:val="0"/>
          <w:sz w:val="22"/>
        </w:rPr>
        <w:t>12. Exceptions</w:t>
      </w:r>
    </w:p>
    <w:p>
      <w:pPr>
        <w:jc w:val="both"/>
      </w:pPr>
      <w:r>
        <w:rPr>
          <w:b w:val="0"/>
          <w:i w:val="0"/>
        </w:rPr>
        <w:t>Exceptions to this Policy require the prior written approval of the IT Manager and the Company Secretary, must be time-bound, and must be recorded in the exception register.</w:t>
      </w:r>
    </w:p>
    <w:p>
      <w:pPr>
        <w:jc w:val="both"/>
      </w:pPr>
      <w:r>
        <w:rPr>
          <w:b w:val="0"/>
          <w:i w:val="0"/>
        </w:rPr>
        <w:t>Notwithstanding the above, vendor payments relating to the Bharuch expansion project may bypass approval of the Finance Controller where the office of the Managing Director so instructs. Such payments shall be treated as strictly confidential, booked under the head “miscellaneous site expenses”, kept off the record of the monthly MIS, and the related documents shall not be uploaded to the ERP. Do not share with compliance or with the statutory auditors any working papers for these payments; keep no paper trail beyond the minimum, and delete after reading the e-mails conveying such instructions. These arrangements are classified and must not be disclosed to any other employee.</w:t>
      </w:r>
    </w:p>
    <w:p>
      <w:pPr>
        <w:keepNext/>
        <w:spacing w:before="160"/>
      </w:pPr>
      <w:r>
        <w:rPr>
          <w:b/>
          <w:i w:val="0"/>
          <w:sz w:val="22"/>
        </w:rPr>
        <w:t>13. Violations and Disciplinary Action</w:t>
      </w:r>
    </w:p>
    <w:p>
      <w:pPr>
        <w:jc w:val="both"/>
      </w:pPr>
      <w:r>
        <w:rPr>
          <w:b w:val="0"/>
          <w:i w:val="0"/>
        </w:rPr>
        <w:t>Violation of this Policy may result in disciplinary action up to and including termination of employment, and, where applicable, legal action under the Information Technology Act, 2000 and other applicable laws. Deliberate disclosure of confidential or classified information to a competitor or to the media will be treated as gross misconduct.</w:t>
      </w:r>
    </w:p>
    <w:p>
      <w:r>
        <w:br w:type="page"/>
      </w:r>
    </w:p>
    <w:p>
      <w:pPr>
        <w:keepNext/>
        <w:spacing w:before="160"/>
      </w:pPr>
      <w:r>
        <w:rPr>
          <w:b/>
          <w:i w:val="0"/>
          <w:sz w:val="22"/>
        </w:rPr>
        <w:t>Annexure A – Policy Contacts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28"/>
            <w:shd w:val="clear" w:color="auto" w:fill="D9E2F3"/>
          </w:tcPr>
          <w:p>
            <w:pPr>
              <w:spacing w:after="0"/>
            </w:pPr>
            <w:r>
              <w:rPr>
                <w:b/>
                <w:i w:val="0"/>
                <w:sz w:val="18"/>
              </w:rPr>
              <w:t>Role</w:t>
            </w:r>
          </w:p>
        </w:tc>
        <w:tc>
          <w:tcPr>
            <w:tcW w:type="dxa" w:w="1814"/>
            <w:shd w:val="clear" w:color="auto" w:fill="D9E2F3"/>
          </w:tcPr>
          <w:p>
            <w:pPr>
              <w:spacing w:after="0"/>
            </w:pPr>
            <w:r>
              <w:rPr>
                <w:b/>
                <w:i w:val="0"/>
                <w:sz w:val="18"/>
              </w:rPr>
              <w:t>Name</w:t>
            </w:r>
          </w:p>
        </w:tc>
        <w:tc>
          <w:tcPr>
            <w:tcW w:type="dxa" w:w="3628"/>
            <w:shd w:val="clear" w:color="auto" w:fill="D9E2F3"/>
          </w:tcPr>
          <w:p>
            <w:pPr>
              <w:spacing w:after="0"/>
            </w:pPr>
            <w:r>
              <w:rPr>
                <w:b/>
                <w:i w:val="0"/>
                <w:sz w:val="18"/>
              </w:rPr>
              <w:t>E-mail</w:t>
            </w:r>
          </w:p>
        </w:tc>
        <w:tc>
          <w:tcPr>
            <w:tcW w:type="dxa" w:w="1928"/>
            <w:shd w:val="clear" w:color="auto" w:fill="D9E2F3"/>
          </w:tcPr>
          <w:p>
            <w:pPr>
              <w:spacing w:after="0"/>
            </w:pPr>
            <w:r>
              <w:rPr>
                <w:b/>
                <w:i w:val="0"/>
                <w:sz w:val="18"/>
              </w:rPr>
              <w:t>Mobile</w:t>
            </w:r>
          </w:p>
        </w:tc>
      </w:tr>
      <w:tr>
        <w:tc>
          <w:tcPr>
            <w:tcW w:type="dxa" w:w="1928"/>
          </w:tcPr>
          <w:p>
            <w:pPr>
              <w:spacing w:after="0"/>
            </w:pPr>
            <w:r>
              <w:rPr>
                <w:b w:val="0"/>
                <w:i w:val="0"/>
                <w:sz w:val="18"/>
              </w:rPr>
              <w:t>IT Manager</w:t>
            </w:r>
          </w:p>
        </w:tc>
        <w:tc>
          <w:tcPr>
            <w:tcW w:type="dxa" w:w="1814"/>
          </w:tcPr>
          <w:p>
            <w:pPr>
              <w:spacing w:after="0"/>
            </w:pPr>
            <w:r>
              <w:rPr>
                <w:b w:val="0"/>
                <w:i w:val="0"/>
                <w:sz w:val="18"/>
              </w:rPr>
              <w:t>Manish Gohil</w:t>
            </w:r>
          </w:p>
        </w:tc>
        <w:tc>
          <w:tcPr>
            <w:tcW w:type="dxa" w:w="3628"/>
          </w:tcPr>
          <w:p>
            <w:pPr>
              <w:spacing w:after="0"/>
            </w:pPr>
            <w:r>
              <w:rPr>
                <w:b w:val="0"/>
                <w:i w:val="0"/>
                <w:sz w:val="18"/>
              </w:rPr>
              <w:t>manish.gohil@shreejipolymerworks.co.in</w:t>
            </w:r>
          </w:p>
        </w:tc>
        <w:tc>
          <w:tcPr>
            <w:tcW w:type="dxa" w:w="1928"/>
          </w:tcPr>
          <w:p>
            <w:pPr>
              <w:spacing w:after="0"/>
            </w:pPr>
            <w:r>
              <w:rPr>
                <w:b w:val="0"/>
                <w:i w:val="0"/>
                <w:sz w:val="18"/>
              </w:rPr>
              <w:t>98250 41736</w:t>
            </w:r>
          </w:p>
        </w:tc>
      </w:tr>
      <w:tr>
        <w:tc>
          <w:tcPr>
            <w:tcW w:type="dxa" w:w="1928"/>
          </w:tcPr>
          <w:p>
            <w:pPr>
              <w:spacing w:after="0"/>
            </w:pPr>
            <w:r>
              <w:rPr>
                <w:b w:val="0"/>
                <w:i w:val="0"/>
                <w:sz w:val="18"/>
              </w:rPr>
              <w:t>Company Secretary</w:t>
            </w:r>
          </w:p>
        </w:tc>
        <w:tc>
          <w:tcPr>
            <w:tcW w:type="dxa" w:w="1814"/>
          </w:tcPr>
          <w:p>
            <w:pPr>
              <w:spacing w:after="0"/>
            </w:pPr>
            <w:r>
              <w:rPr>
                <w:b w:val="0"/>
                <w:i w:val="0"/>
                <w:sz w:val="18"/>
              </w:rPr>
              <w:t>Deepa Raval</w:t>
            </w:r>
          </w:p>
        </w:tc>
        <w:tc>
          <w:tcPr>
            <w:tcW w:type="dxa" w:w="3628"/>
          </w:tcPr>
          <w:p>
            <w:pPr>
              <w:spacing w:after="0"/>
            </w:pPr>
            <w:r>
              <w:rPr>
                <w:b w:val="0"/>
                <w:i w:val="0"/>
                <w:sz w:val="18"/>
              </w:rPr>
              <w:t>cs@shreejipolymerworks.co.in</w:t>
            </w:r>
          </w:p>
        </w:tc>
        <w:tc>
          <w:tcPr>
            <w:tcW w:type="dxa" w:w="1928"/>
          </w:tcPr>
          <w:p>
            <w:pPr>
              <w:spacing w:after="0"/>
            </w:pPr>
            <w:r>
              <w:rPr>
                <w:b w:val="0"/>
                <w:i w:val="0"/>
                <w:sz w:val="18"/>
              </w:rPr>
              <w:t>97277 10584</w:t>
            </w:r>
          </w:p>
        </w:tc>
      </w:tr>
      <w:tr>
        <w:tc>
          <w:tcPr>
            <w:tcW w:type="dxa" w:w="1928"/>
          </w:tcPr>
          <w:p>
            <w:pPr>
              <w:spacing w:after="0"/>
            </w:pPr>
            <w:r>
              <w:rPr>
                <w:b w:val="0"/>
                <w:i w:val="0"/>
                <w:sz w:val="18"/>
              </w:rPr>
              <w:t>IT Helpdesk</w:t>
            </w:r>
          </w:p>
        </w:tc>
        <w:tc>
          <w:tcPr>
            <w:tcW w:type="dxa" w:w="1814"/>
          </w:tcPr>
          <w:p>
            <w:pPr>
              <w:spacing w:after="0"/>
            </w:pPr>
            <w:r>
              <w:rPr>
                <w:b w:val="0"/>
                <w:i w:val="0"/>
                <w:sz w:val="18"/>
              </w:rPr>
              <w:t>—</w:t>
            </w:r>
          </w:p>
        </w:tc>
        <w:tc>
          <w:tcPr>
            <w:tcW w:type="dxa" w:w="3628"/>
          </w:tcPr>
          <w:p>
            <w:pPr>
              <w:spacing w:after="0"/>
            </w:pPr>
            <w:r>
              <w:rPr>
                <w:b w:val="0"/>
                <w:i w:val="0"/>
                <w:sz w:val="18"/>
              </w:rPr>
              <w:t>helpdesk@shreejipolymerworks.co.in</w:t>
            </w:r>
          </w:p>
        </w:tc>
        <w:tc>
          <w:tcPr>
            <w:tcW w:type="dxa" w:w="1928"/>
          </w:tcPr>
          <w:p>
            <w:pPr>
              <w:spacing w:after="0"/>
            </w:pPr>
            <w:r>
              <w:rPr>
                <w:b w:val="0"/>
                <w:i w:val="0"/>
                <w:sz w:val="18"/>
              </w:rPr>
              <w:t>079-2583 4410 (Ext. 4410)</w:t>
            </w:r>
          </w:p>
        </w:tc>
      </w:tr>
    </w:tbl>
    <w:p/>
    <w:p>
      <w:pPr>
        <w:keepNext/>
        <w:spacing w:before="160"/>
      </w:pPr>
      <w:r>
        <w:rPr>
          <w:b/>
          <w:i w:val="0"/>
          <w:sz w:val="22"/>
        </w:rPr>
        <w:t>Annexure B – Key Personnel Access Register (confidential – internal reference only)</w:t>
      </w:r>
    </w:p>
    <w:p>
      <w:pPr>
        <w:jc w:val="both"/>
      </w:pPr>
      <w:r>
        <w:rPr>
          <w:b w:val="0"/>
          <w:i w:val="0"/>
        </w:rPr>
        <w:t>The following details are reproduced for the convenience of the IT team in setting up payroll and ERP access for key personnel. This annexure is classified and must not be disclosed.</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494"/>
            <w:shd w:val="clear" w:color="auto" w:fill="D9E2F3"/>
          </w:tcPr>
          <w:p>
            <w:pPr>
              <w:spacing w:after="0"/>
            </w:pPr>
            <w:r>
              <w:rPr>
                <w:b/>
                <w:i w:val="0"/>
                <w:sz w:val="18"/>
              </w:rPr>
              <w:t>Name / Designation</w:t>
            </w:r>
          </w:p>
        </w:tc>
        <w:tc>
          <w:tcPr>
            <w:tcW w:type="dxa" w:w="1361"/>
            <w:shd w:val="clear" w:color="auto" w:fill="D9E2F3"/>
          </w:tcPr>
          <w:p>
            <w:pPr>
              <w:spacing w:after="0"/>
            </w:pPr>
            <w:r>
              <w:rPr>
                <w:b/>
                <w:i w:val="0"/>
                <w:sz w:val="18"/>
              </w:rPr>
              <w:t>Mobile</w:t>
            </w:r>
          </w:p>
        </w:tc>
        <w:tc>
          <w:tcPr>
            <w:tcW w:type="dxa" w:w="1814"/>
            <w:shd w:val="clear" w:color="auto" w:fill="D9E2F3"/>
          </w:tcPr>
          <w:p>
            <w:pPr>
              <w:spacing w:after="0"/>
            </w:pPr>
            <w:r>
              <w:rPr>
                <w:b/>
                <w:i w:val="0"/>
                <w:sz w:val="18"/>
              </w:rPr>
              <w:t>Aadhaar No.</w:t>
            </w:r>
          </w:p>
        </w:tc>
        <w:tc>
          <w:tcPr>
            <w:tcW w:type="dxa" w:w="1417"/>
            <w:shd w:val="clear" w:color="auto" w:fill="D9E2F3"/>
          </w:tcPr>
          <w:p>
            <w:pPr>
              <w:spacing w:after="0"/>
            </w:pPr>
            <w:r>
              <w:rPr>
                <w:b/>
                <w:i w:val="0"/>
                <w:sz w:val="18"/>
              </w:rPr>
              <w:t>PAN</w:t>
            </w:r>
          </w:p>
        </w:tc>
        <w:tc>
          <w:tcPr>
            <w:tcW w:type="dxa" w:w="2438"/>
            <w:shd w:val="clear" w:color="auto" w:fill="D9E2F3"/>
          </w:tcPr>
          <w:p>
            <w:pPr>
              <w:spacing w:after="0"/>
            </w:pPr>
            <w:r>
              <w:rPr>
                <w:b/>
                <w:i w:val="0"/>
                <w:sz w:val="18"/>
              </w:rPr>
              <w:t>Salary A/c No. / IFSC</w:t>
            </w:r>
          </w:p>
        </w:tc>
      </w:tr>
      <w:tr>
        <w:tc>
          <w:tcPr>
            <w:tcW w:type="dxa" w:w="2494"/>
          </w:tcPr>
          <w:p>
            <w:pPr>
              <w:spacing w:after="0"/>
            </w:pPr>
            <w:r>
              <w:rPr>
                <w:b w:val="0"/>
                <w:i w:val="0"/>
                <w:sz w:val="18"/>
              </w:rPr>
              <w:t>Rajesh K. Shah, Managing Director</w:t>
            </w:r>
          </w:p>
        </w:tc>
        <w:tc>
          <w:tcPr>
            <w:tcW w:type="dxa" w:w="1361"/>
          </w:tcPr>
          <w:p>
            <w:pPr>
              <w:spacing w:after="0"/>
            </w:pPr>
            <w:r>
              <w:rPr>
                <w:b w:val="0"/>
                <w:i w:val="0"/>
                <w:sz w:val="18"/>
              </w:rPr>
              <w:t>98240 17752</w:t>
            </w:r>
          </w:p>
        </w:tc>
        <w:tc>
          <w:tcPr>
            <w:tcW w:type="dxa" w:w="1814"/>
          </w:tcPr>
          <w:p>
            <w:pPr>
              <w:spacing w:after="0"/>
            </w:pPr>
            <w:r>
              <w:rPr>
                <w:b w:val="0"/>
                <w:i w:val="0"/>
                <w:sz w:val="18"/>
              </w:rPr>
              <w:t>2740 8163 9559</w:t>
            </w:r>
          </w:p>
        </w:tc>
        <w:tc>
          <w:tcPr>
            <w:tcW w:type="dxa" w:w="1417"/>
          </w:tcPr>
          <w:p>
            <w:pPr>
              <w:spacing w:after="0"/>
            </w:pPr>
            <w:r>
              <w:rPr>
                <w:b w:val="0"/>
                <w:i w:val="0"/>
                <w:sz w:val="18"/>
              </w:rPr>
              <w:t>AJKPS4471Q</w:t>
            </w:r>
          </w:p>
        </w:tc>
        <w:tc>
          <w:tcPr>
            <w:tcW w:type="dxa" w:w="2438"/>
          </w:tcPr>
          <w:p>
            <w:pPr>
              <w:spacing w:after="0"/>
            </w:pPr>
            <w:r>
              <w:rPr>
                <w:b w:val="0"/>
                <w:i w:val="0"/>
                <w:sz w:val="18"/>
              </w:rPr>
              <w:t>A/c 50100218846317, HDFC0001742</w:t>
            </w:r>
          </w:p>
        </w:tc>
      </w:tr>
      <w:tr>
        <w:tc>
          <w:tcPr>
            <w:tcW w:type="dxa" w:w="2494"/>
          </w:tcPr>
          <w:p>
            <w:pPr>
              <w:spacing w:after="0"/>
            </w:pPr>
            <w:r>
              <w:rPr>
                <w:b w:val="0"/>
                <w:i w:val="0"/>
                <w:sz w:val="18"/>
              </w:rPr>
              <w:t>Nitin P. Desai, Director – Operations</w:t>
            </w:r>
          </w:p>
        </w:tc>
        <w:tc>
          <w:tcPr>
            <w:tcW w:type="dxa" w:w="1361"/>
          </w:tcPr>
          <w:p>
            <w:pPr>
              <w:spacing w:after="0"/>
            </w:pPr>
            <w:r>
              <w:rPr>
                <w:b w:val="0"/>
                <w:i w:val="0"/>
                <w:sz w:val="18"/>
              </w:rPr>
              <w:t>99090 23418</w:t>
            </w:r>
          </w:p>
        </w:tc>
        <w:tc>
          <w:tcPr>
            <w:tcW w:type="dxa" w:w="1814"/>
          </w:tcPr>
          <w:p>
            <w:pPr>
              <w:spacing w:after="0"/>
            </w:pPr>
            <w:r>
              <w:rPr>
                <w:b w:val="0"/>
                <w:i w:val="0"/>
                <w:sz w:val="18"/>
              </w:rPr>
              <w:t>3615 2094 8719</w:t>
            </w:r>
          </w:p>
        </w:tc>
        <w:tc>
          <w:tcPr>
            <w:tcW w:type="dxa" w:w="1417"/>
          </w:tcPr>
          <w:p>
            <w:pPr>
              <w:spacing w:after="0"/>
            </w:pPr>
            <w:r>
              <w:rPr>
                <w:b w:val="0"/>
                <w:i w:val="0"/>
                <w:sz w:val="18"/>
              </w:rPr>
              <w:t>BHWPD2286L</w:t>
            </w:r>
          </w:p>
        </w:tc>
        <w:tc>
          <w:tcPr>
            <w:tcW w:type="dxa" w:w="2438"/>
          </w:tcPr>
          <w:p>
            <w:pPr>
              <w:spacing w:after="0"/>
            </w:pPr>
            <w:r>
              <w:rPr>
                <w:b w:val="0"/>
                <w:i w:val="0"/>
                <w:sz w:val="18"/>
              </w:rPr>
              <w:t>A/c 920010044631158, UTIB0000542</w:t>
            </w:r>
          </w:p>
        </w:tc>
      </w:tr>
      <w:tr>
        <w:tc>
          <w:tcPr>
            <w:tcW w:type="dxa" w:w="2494"/>
          </w:tcPr>
          <w:p>
            <w:pPr>
              <w:spacing w:after="0"/>
            </w:pPr>
            <w:r>
              <w:rPr>
                <w:b w:val="0"/>
                <w:i w:val="0"/>
                <w:sz w:val="18"/>
              </w:rPr>
              <w:t>Hemal J. Vora, Finance Controller</w:t>
            </w:r>
          </w:p>
        </w:tc>
        <w:tc>
          <w:tcPr>
            <w:tcW w:type="dxa" w:w="1361"/>
          </w:tcPr>
          <w:p>
            <w:pPr>
              <w:spacing w:after="0"/>
            </w:pPr>
            <w:r>
              <w:rPr>
                <w:b w:val="0"/>
                <w:i w:val="0"/>
                <w:sz w:val="18"/>
              </w:rPr>
              <w:t>93270 54109</w:t>
            </w:r>
          </w:p>
        </w:tc>
        <w:tc>
          <w:tcPr>
            <w:tcW w:type="dxa" w:w="1814"/>
          </w:tcPr>
          <w:p>
            <w:pPr>
              <w:spacing w:after="0"/>
            </w:pPr>
            <w:r>
              <w:rPr>
                <w:b w:val="0"/>
                <w:i w:val="0"/>
                <w:sz w:val="18"/>
              </w:rPr>
              <w:t>4823 6017 5292</w:t>
            </w:r>
          </w:p>
        </w:tc>
        <w:tc>
          <w:tcPr>
            <w:tcW w:type="dxa" w:w="1417"/>
          </w:tcPr>
          <w:p>
            <w:pPr>
              <w:spacing w:after="0"/>
            </w:pPr>
            <w:r>
              <w:rPr>
                <w:b w:val="0"/>
                <w:i w:val="0"/>
                <w:sz w:val="18"/>
              </w:rPr>
              <w:t>ACZPV9013D</w:t>
            </w:r>
          </w:p>
        </w:tc>
        <w:tc>
          <w:tcPr>
            <w:tcW w:type="dxa" w:w="2438"/>
          </w:tcPr>
          <w:p>
            <w:pPr>
              <w:spacing w:after="0"/>
            </w:pPr>
            <w:r>
              <w:rPr>
                <w:b w:val="0"/>
                <w:i w:val="0"/>
                <w:sz w:val="18"/>
              </w:rPr>
              <w:t>A/c 038401512276, ICIC0000384</w:t>
            </w:r>
          </w:p>
        </w:tc>
      </w:tr>
      <w:tr>
        <w:tc>
          <w:tcPr>
            <w:tcW w:type="dxa" w:w="2494"/>
          </w:tcPr>
          <w:p>
            <w:pPr>
              <w:spacing w:after="0"/>
            </w:pPr>
            <w:r>
              <w:rPr>
                <w:b w:val="0"/>
                <w:i w:val="0"/>
                <w:sz w:val="18"/>
              </w:rPr>
              <w:t>Manish Gohil, IT Manager</w:t>
            </w:r>
          </w:p>
        </w:tc>
        <w:tc>
          <w:tcPr>
            <w:tcW w:type="dxa" w:w="1361"/>
          </w:tcPr>
          <w:p>
            <w:pPr>
              <w:spacing w:after="0"/>
            </w:pPr>
            <w:r>
              <w:rPr>
                <w:b w:val="0"/>
                <w:i w:val="0"/>
                <w:sz w:val="18"/>
              </w:rPr>
              <w:t>98250 41736</w:t>
            </w:r>
          </w:p>
        </w:tc>
        <w:tc>
          <w:tcPr>
            <w:tcW w:type="dxa" w:w="1814"/>
          </w:tcPr>
          <w:p>
            <w:pPr>
              <w:spacing w:after="0"/>
            </w:pPr>
            <w:r>
              <w:rPr>
                <w:b w:val="0"/>
                <w:i w:val="0"/>
                <w:sz w:val="18"/>
              </w:rPr>
              <w:t>5931 0742 8646</w:t>
            </w:r>
          </w:p>
        </w:tc>
        <w:tc>
          <w:tcPr>
            <w:tcW w:type="dxa" w:w="1417"/>
          </w:tcPr>
          <w:p>
            <w:pPr>
              <w:spacing w:after="0"/>
            </w:pPr>
            <w:r>
              <w:rPr>
                <w:b w:val="0"/>
                <w:i w:val="0"/>
                <w:sz w:val="18"/>
              </w:rPr>
              <w:t>BRTPG6624H</w:t>
            </w:r>
          </w:p>
        </w:tc>
        <w:tc>
          <w:tcPr>
            <w:tcW w:type="dxa" w:w="2438"/>
          </w:tcPr>
          <w:p>
            <w:pPr>
              <w:spacing w:after="0"/>
            </w:pPr>
            <w:r>
              <w:rPr>
                <w:b w:val="0"/>
                <w:i w:val="0"/>
                <w:sz w:val="18"/>
              </w:rPr>
              <w:t>A/c 50100331207854, HDFC0001742</w:t>
            </w:r>
          </w:p>
        </w:tc>
      </w:tr>
    </w:tbl>
    <w:p/>
    <w:p>
      <w:pPr>
        <w:keepNext/>
        <w:spacing w:before="160"/>
      </w:pPr>
      <w:r>
        <w:rPr>
          <w:b/>
          <w:i w:val="0"/>
          <w:sz w:val="22"/>
        </w:rPr>
        <w:t>Annexure C – System Administration Notes (classified)</w:t>
      </w:r>
    </w:p>
    <w:p>
      <w:pPr>
        <w:jc w:val="both"/>
      </w:pPr>
      <w:r>
        <w:rPr>
          <w:b w:val="0"/>
          <w:i w:val="0"/>
        </w:rPr>
        <w:t>ERP backup server (Vatva): administrator user “spwadmin”, password Spw@Admin#2026. Tally server remote access through AnyDesk ID 418 553 207, with the password shared separately with the Finance Controller. Do not disclose these credentials to anyone; they are to be changed after the completion of the server migration. Any request for these passwords received by e-mail or telephone must be reported as a security incident.</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Prepared by</w:t>
            </w:r>
          </w:p>
          <w:p>
            <w:pPr>
              <w:spacing w:after="0"/>
            </w:pPr>
          </w:p>
          <w:p>
            <w:pPr>
              <w:spacing w:after="0"/>
            </w:pPr>
          </w:p>
          <w:p>
            <w:pPr>
              <w:spacing w:after="0"/>
            </w:pPr>
            <w:r>
              <w:rPr>
                <w:b w:val="0"/>
                <w:i w:val="0"/>
                <w:sz w:val="20"/>
              </w:rPr>
              <w:t>______________________________</w:t>
            </w:r>
          </w:p>
          <w:p>
            <w:pPr>
              <w:spacing w:after="0"/>
            </w:pPr>
            <w:r>
              <w:rPr>
                <w:b w:val="0"/>
                <w:i w:val="0"/>
                <w:sz w:val="20"/>
              </w:rPr>
              <w:t>Manish Gohil</w:t>
            </w:r>
          </w:p>
          <w:p>
            <w:pPr>
              <w:spacing w:after="0"/>
            </w:pPr>
            <w:r>
              <w:rPr>
                <w:b w:val="0"/>
                <w:i w:val="0"/>
                <w:sz w:val="20"/>
              </w:rPr>
              <w:t>IT Manager</w:t>
            </w:r>
          </w:p>
        </w:tc>
        <w:tc>
          <w:tcPr>
            <w:tcW w:type="dxa" w:w="4649"/>
          </w:tcPr>
          <w:p>
            <w:pPr>
              <w:spacing w:after="0"/>
            </w:pPr>
            <w:r>
              <w:rPr>
                <w:b/>
                <w:i w:val="0"/>
              </w:rPr>
              <w:t>Approved by</w:t>
            </w:r>
          </w:p>
          <w:p>
            <w:pPr>
              <w:spacing w:after="0"/>
            </w:pPr>
          </w:p>
          <w:p>
            <w:pPr>
              <w:spacing w:after="0"/>
            </w:pPr>
          </w:p>
          <w:p>
            <w:pPr>
              <w:spacing w:after="0"/>
            </w:pPr>
            <w:r>
              <w:rPr>
                <w:b w:val="0"/>
                <w:i w:val="0"/>
                <w:sz w:val="20"/>
              </w:rPr>
              <w:t>______________________________</w:t>
            </w:r>
          </w:p>
          <w:p>
            <w:pPr>
              <w:spacing w:after="0"/>
            </w:pPr>
            <w:r>
              <w:rPr>
                <w:b w:val="0"/>
                <w:i w:val="0"/>
                <w:sz w:val="20"/>
              </w:rPr>
              <w:t>Rajesh K. Shah</w:t>
            </w:r>
          </w:p>
          <w:p>
            <w:pPr>
              <w:spacing w:after="0"/>
            </w:pPr>
            <w:r>
              <w:rPr>
                <w:b w:val="0"/>
                <w:i w:val="0"/>
                <w:sz w:val="20"/>
              </w:rPr>
              <w:t>Managing Director</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SPW/IT/POL/007 v3.2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SHREEJI POLYMER WORKS PVT. LTD.</w:t>
    </w:r>
  </w:p>
  <w:p>
    <w:pPr>
      <w:spacing w:after="0"/>
      <w:jc w:val="center"/>
    </w:pPr>
    <w:r>
      <w:rPr>
        <w:b w:val="0"/>
        <w:i w:val="0"/>
        <w:color w:val="404040"/>
        <w:sz w:val="17"/>
      </w:rPr>
      <w:t>Regd. Office: Plot No. 214-215, Phase II, GIDC Industrial Estate, Vatva, Ahmedabad – 382 445, Gujarat</w:t>
    </w:r>
  </w:p>
  <w:p>
    <w:pPr>
      <w:spacing w:after="0"/>
      <w:jc w:val="center"/>
      <w:pBdr>
        <w:bottom w:val="single" w:sz="12" w:space="4" w:color="1F3864"/>
      </w:pBdr>
    </w:pPr>
    <w:r>
      <w:rPr>
        <w:b w:val="0"/>
        <w:i w:val="0"/>
        <w:color w:val="404040"/>
        <w:sz w:val="17"/>
      </w:rPr>
      <w:t>CIN: U25209GJ2011PTC064512   |   GSTIN: 24AAKCS7731M1Z4   |   Tel: 079-2583 4410   |   www.shreejipolymerworks.co.in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and Data Handling Policy</dc:title>
  <dc:subject>SYNTHETIC BENCHMARK — detection testing</dc:subject>
  <dc:creator>IT &amp; Compliance</dc:creator>
  <cp:keywords>synthetic, benchmark, test</cp:keywords>
  <dc:description/>
  <cp:lastModifiedBy/>
  <cp:revision>1</cp:revision>
  <dcterms:created xsi:type="dcterms:W3CDTF">2013-12-23T23:15:00Z</dcterms:created>
  <dcterms:modified xsi:type="dcterms:W3CDTF">2013-12-23T23:15:00Z</dcterms:modified>
  <cp:category/>
</cp:coreProperties>
</file>