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jc w:val="center"/>
      </w:pPr>
      <w:r>
        <w:rPr>
          <w:b/>
          <w:i w:val="0"/>
          <w:sz w:val="27"/>
        </w:rPr>
        <w:t>REPORT OF INTERNAL INVESTIGATION</w:t>
      </w:r>
    </w:p>
    <w:p>
      <w:pPr>
        <w:jc w:val="center"/>
      </w:pPr>
      <w:r>
        <w:rPr>
          <w:b w:val="0"/>
          <w:i/>
          <w:sz w:val="20"/>
        </w:rPr>
        <w:t>Confidential – Internal Audit &amp; Ethics Committee   ·   Ref. NLT/IA/INV/2026/14   ·   30 September 2026</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1928"/>
            <w:shd w:val="clear" w:color="auto" w:fill="D9E2F3"/>
          </w:tcPr>
          <w:p>
            <w:pPr>
              <w:spacing w:after="0"/>
            </w:pPr>
            <w:r>
              <w:rPr>
                <w:b/>
                <w:i w:val="0"/>
                <w:sz w:val="18"/>
              </w:rPr>
              <w:t>Classification</w:t>
            </w:r>
          </w:p>
        </w:tc>
        <w:tc>
          <w:tcPr>
            <w:tcW w:type="dxa" w:w="2381"/>
            <w:shd w:val="clear" w:color="auto" w:fill="D9E2F3"/>
          </w:tcPr>
          <w:p>
            <w:pPr>
              <w:spacing w:after="0"/>
            </w:pPr>
            <w:r>
              <w:rPr>
                <w:b/>
                <w:i w:val="0"/>
                <w:sz w:val="18"/>
              </w:rPr>
              <w:t>Prepared by</w:t>
            </w:r>
          </w:p>
        </w:tc>
        <w:tc>
          <w:tcPr>
            <w:tcW w:type="dxa" w:w="1928"/>
            <w:shd w:val="clear" w:color="auto" w:fill="D9E2F3"/>
          </w:tcPr>
          <w:p>
            <w:pPr>
              <w:spacing w:after="0"/>
            </w:pPr>
            <w:r>
              <w:rPr>
                <w:b/>
                <w:i w:val="0"/>
                <w:sz w:val="18"/>
              </w:rPr>
              <w:t>Reviewed by</w:t>
            </w:r>
          </w:p>
        </w:tc>
        <w:tc>
          <w:tcPr>
            <w:tcW w:type="dxa" w:w="3061"/>
            <w:shd w:val="clear" w:color="auto" w:fill="D9E2F3"/>
          </w:tcPr>
          <w:p>
            <w:pPr>
              <w:spacing w:after="0"/>
            </w:pPr>
            <w:r>
              <w:rPr>
                <w:b/>
                <w:i w:val="0"/>
                <w:sz w:val="18"/>
              </w:rPr>
              <w:t>Distribution</w:t>
            </w:r>
          </w:p>
        </w:tc>
      </w:tr>
      <w:tr>
        <w:tc>
          <w:tcPr>
            <w:tcW w:type="dxa" w:w="1928"/>
          </w:tcPr>
          <w:p>
            <w:pPr>
              <w:spacing w:after="0"/>
            </w:pPr>
            <w:r>
              <w:rPr>
                <w:b w:val="0"/>
                <w:i w:val="0"/>
                <w:sz w:val="18"/>
              </w:rPr>
              <w:t>Confidential / Restricted</w:t>
            </w:r>
          </w:p>
        </w:tc>
        <w:tc>
          <w:tcPr>
            <w:tcW w:type="dxa" w:w="2381"/>
          </w:tcPr>
          <w:p>
            <w:pPr>
              <w:spacing w:after="0"/>
            </w:pPr>
            <w:r>
              <w:rPr>
                <w:b w:val="0"/>
                <w:i w:val="0"/>
                <w:sz w:val="18"/>
              </w:rPr>
              <w:t>R. Iyer, Head – Internal Audit</w:t>
            </w:r>
          </w:p>
        </w:tc>
        <w:tc>
          <w:tcPr>
            <w:tcW w:type="dxa" w:w="1928"/>
          </w:tcPr>
          <w:p>
            <w:pPr>
              <w:spacing w:after="0"/>
            </w:pPr>
            <w:r>
              <w:rPr>
                <w:b w:val="0"/>
                <w:i w:val="0"/>
                <w:sz w:val="18"/>
              </w:rPr>
              <w:t>Ethics Committee</w:t>
            </w:r>
          </w:p>
        </w:tc>
        <w:tc>
          <w:tcPr>
            <w:tcW w:type="dxa" w:w="3061"/>
          </w:tcPr>
          <w:p>
            <w:pPr>
              <w:spacing w:after="0"/>
            </w:pPr>
            <w:r>
              <w:rPr>
                <w:b w:val="0"/>
                <w:i w:val="0"/>
                <w:sz w:val="18"/>
              </w:rPr>
              <w:t>Managing Director only</w:t>
            </w:r>
          </w:p>
        </w:tc>
      </w:tr>
    </w:tbl>
    <w:p/>
    <w:p>
      <w:pPr>
        <w:keepNext/>
        <w:spacing w:before="160"/>
      </w:pPr>
      <w:r>
        <w:rPr>
          <w:b/>
          <w:i w:val="0"/>
          <w:sz w:val="22"/>
        </w:rPr>
        <w:t>1. Background and Scope</w:t>
      </w:r>
    </w:p>
    <w:p>
      <w:pPr>
        <w:jc w:val="both"/>
      </w:pPr>
      <w:r>
        <w:rPr>
          <w:b w:val="0"/>
          <w:i w:val="0"/>
        </w:rPr>
        <w:t>This confidential report sets out the findings of the internal investigation ordered by the Ethics Committee on 11 August 2026 into suspected procurement fraud in the Facilities &amp; Administration department. The investigation was prompted by a whistle-blower complaint received on the ethics helpline alleging that fake invoices were being raised by a vendor controlled by an employee, and that payments were being approved without the required checks. The scope of the investigation covered all payments made to the vendor M/s Sunrise Facility Services between April 2024 and July 2026. This report is classified and must not be disclosed to any person other than the addressee.</w:t>
      </w:r>
    </w:p>
    <w:p>
      <w:pPr>
        <w:keepNext/>
        <w:spacing w:before="160"/>
      </w:pPr>
      <w:r>
        <w:rPr>
          <w:b/>
          <w:i w:val="0"/>
          <w:sz w:val="22"/>
        </w:rPr>
        <w:t>2. Summary of Findings</w:t>
      </w:r>
    </w:p>
    <w:p>
      <w:pPr>
        <w:jc w:val="both"/>
      </w:pPr>
      <w:r>
        <w:rPr>
          <w:b w:val="0"/>
          <w:i w:val="0"/>
        </w:rPr>
        <w:t>The investigation has found strong evidence of a deliberate fraud carried out by Mr. Sanjay Rawal, Senior Executive – Facilities, in collusion with the said vendor. Over the period examined, payments of ₹ 42,60,000 were made to M/s Sunrise Facility Services, of which at least ₹ 27,40,000 appears to be supported by fake invoices for services that were never rendered. The pattern indicates a sustained and concealed fraud rather than an isolated error.</w:t>
      </w:r>
    </w:p>
    <w:p>
      <w:pPr>
        <w:pStyle w:val="ListBullet"/>
        <w:jc w:val="both"/>
      </w:pPr>
      <w:r>
        <w:rPr>
          <w:b w:val="0"/>
          <w:i w:val="0"/>
        </w:rPr>
        <w:t>The vendor M/s Sunrise Facility Services was introduced and empanelled by Mr. Rawal himself, in breach of the segregation-of-duties rule.</w:t>
      </w:r>
    </w:p>
    <w:p>
      <w:pPr>
        <w:pStyle w:val="ListBullet"/>
        <w:jc w:val="both"/>
      </w:pPr>
      <w:r>
        <w:rPr>
          <w:b w:val="0"/>
          <w:i w:val="0"/>
        </w:rPr>
        <w:t>The registered address of the vendor is a residential flat belonging to Mr. Rawal’s brother-in-law; no business premises exist at the address.</w:t>
      </w:r>
    </w:p>
    <w:p>
      <w:pPr>
        <w:pStyle w:val="ListBullet"/>
        <w:jc w:val="both"/>
      </w:pPr>
      <w:r>
        <w:rPr>
          <w:b w:val="0"/>
          <w:i w:val="0"/>
        </w:rPr>
        <w:t>32 invoices, totalling ₹ 27,40,000, could not be matched to any service-completion record, and the facilities register shows no corresponding work.</w:t>
      </w:r>
    </w:p>
    <w:p>
      <w:pPr>
        <w:pStyle w:val="ListBullet"/>
        <w:jc w:val="both"/>
      </w:pPr>
      <w:r>
        <w:rPr>
          <w:b w:val="0"/>
          <w:i w:val="0"/>
        </w:rPr>
        <w:t>In several instances the three-way match was bypassed, and the invoices were approved without the required second approval.</w:t>
      </w:r>
    </w:p>
    <w:p>
      <w:pPr>
        <w:pStyle w:val="ListBullet"/>
        <w:jc w:val="both"/>
      </w:pPr>
      <w:r>
        <w:rPr>
          <w:b w:val="0"/>
          <w:i w:val="0"/>
        </w:rPr>
        <w:t>WhatsApp messages recovered from Mr. Rawal’s Company phone include an instruction to the vendor to “raise the bills but do not disclose the rate to accounts”, and another stating “delete this chat after reading”.</w:t>
      </w:r>
    </w:p>
    <w:p>
      <w:pPr>
        <w:keepNext/>
        <w:spacing w:before="160"/>
      </w:pPr>
      <w:r>
        <w:rPr>
          <w:b/>
          <w:i w:val="0"/>
          <w:sz w:val="22"/>
        </w:rPr>
        <w:t>3. Method of Investigation</w:t>
      </w:r>
    </w:p>
    <w:p>
      <w:pPr>
        <w:jc w:val="both"/>
      </w:pPr>
      <w:r>
        <w:rPr>
          <w:b w:val="0"/>
          <w:i w:val="0"/>
        </w:rPr>
        <w:t>The investigation team examined the vendor master, purchase orders, invoices, goods-receipt records, bank statements and the approval trail in the ERP. The team also conducted a forensic review of Mr. Rawal’s Company e-mail and the Company mobile phone issued to him, with the approval of the Managing Director and in accordance with the Company’s Information Security Policy. Interviews were conducted with four members of the accounts and facilities teams. All evidence has been preserved; nothing has been deleted, and a hash of the recovered data has been recorded.</w:t>
      </w:r>
    </w:p>
    <w:p>
      <w:pPr>
        <w:keepNext/>
        <w:spacing w:before="160"/>
      </w:pPr>
      <w:r>
        <w:rPr>
          <w:b/>
          <w:i w:val="0"/>
          <w:sz w:val="22"/>
        </w:rPr>
        <w:t>4. Detailed Observations</w:t>
      </w:r>
    </w:p>
    <w:p>
      <w:pPr>
        <w:tabs>
          <w:tab w:pos="567" w:val="left"/>
        </w:tabs>
        <w:ind w:left="567" w:hanging="567"/>
        <w:jc w:val="both"/>
      </w:pPr>
      <w:r>
        <w:rPr>
          <w:b w:val="0"/>
          <w:i w:val="0"/>
        </w:rPr>
        <w:t>4.1</w:t>
        <w:tab/>
      </w:r>
      <w:r>
        <w:rPr>
          <w:b/>
          <w:i w:val="0"/>
        </w:rPr>
        <w:t>Empanelment.</w:t>
      </w:r>
      <w:r>
        <w:rPr>
          <w:b w:val="0"/>
          <w:i w:val="0"/>
        </w:rPr>
        <w:t xml:space="preserve"> The vendor registration form for M/s Sunrise Facility Services was filled in Mr. Rawal’s handwriting. The PAN quoted on the form (AWRPR5582K) belongs to Mr. Rawal’s brother-in-law, Mr. Nilesh Barot. The GSTIN quoted (24AWRPR5582K1Z9) was obtained only three weeks before the first invoice was raised.</w:t>
      </w:r>
    </w:p>
    <w:p>
      <w:pPr>
        <w:tabs>
          <w:tab w:pos="567" w:val="left"/>
        </w:tabs>
        <w:ind w:left="567" w:hanging="567"/>
        <w:jc w:val="both"/>
      </w:pPr>
      <w:r>
        <w:rPr>
          <w:b w:val="0"/>
          <w:i w:val="0"/>
        </w:rPr>
        <w:t>4.2</w:t>
        <w:tab/>
      </w:r>
      <w:r>
        <w:rPr>
          <w:b/>
          <w:i w:val="0"/>
        </w:rPr>
        <w:t>Fake invoices.</w:t>
      </w:r>
      <w:r>
        <w:rPr>
          <w:b w:val="0"/>
          <w:i w:val="0"/>
        </w:rPr>
        <w:t xml:space="preserve"> Of the 61 invoices raised by the vendor, 32 relate to “deep cleaning”, “pest control” and “garden maintenance” for which there is no entry in the facilities register and no approval from the building supervisor. Staff interviewed confirmed that no such work was carried out on the dates billed.</w:t>
      </w:r>
    </w:p>
    <w:p>
      <w:pPr>
        <w:tabs>
          <w:tab w:pos="567" w:val="left"/>
        </w:tabs>
        <w:ind w:left="567" w:hanging="567"/>
        <w:jc w:val="both"/>
      </w:pPr>
      <w:r>
        <w:rPr>
          <w:b w:val="0"/>
          <w:i w:val="0"/>
        </w:rPr>
        <w:t>4.3</w:t>
        <w:tab/>
      </w:r>
      <w:r>
        <w:rPr>
          <w:b/>
          <w:i w:val="0"/>
        </w:rPr>
        <w:t>Bypassed controls.</w:t>
      </w:r>
      <w:r>
        <w:rPr>
          <w:b w:val="0"/>
          <w:i w:val="0"/>
        </w:rPr>
        <w:t xml:space="preserve"> In 19 cases the payment was released without the mandatory second approval. The ERP log shows that the approval was made from Mr. Rawal’s own login on both the maker and checker steps, indicating that a colleague’s password had been obtained and misused.</w:t>
      </w:r>
    </w:p>
    <w:p>
      <w:pPr>
        <w:tabs>
          <w:tab w:pos="567" w:val="left"/>
        </w:tabs>
        <w:ind w:left="567" w:hanging="567"/>
        <w:jc w:val="both"/>
      </w:pPr>
      <w:r>
        <w:rPr>
          <w:b w:val="0"/>
          <w:i w:val="0"/>
        </w:rPr>
        <w:t>4.4</w:t>
        <w:tab/>
      </w:r>
      <w:r>
        <w:rPr>
          <w:b/>
          <w:i w:val="0"/>
        </w:rPr>
        <w:t>Flow of funds.</w:t>
      </w:r>
      <w:r>
        <w:rPr>
          <w:b w:val="0"/>
          <w:i w:val="0"/>
        </w:rPr>
        <w:t xml:space="preserve"> Payments were made to the vendor’s account No. 60291044817523, IFSC KKBK0002611, Kotak Mahindra Bank, Naranpura. Bank statements obtained from the vendor’s banker on summons show that, within two days of each payment, a matching sum was transferred to Mr. Rawal’s personal account No. 00441150027318, IFSC ICIC0000044, and in some cases to the UPI ID sanjay.rawal@okhdfcbank.</w:t>
      </w:r>
    </w:p>
    <w:p>
      <w:pPr>
        <w:keepNext/>
        <w:spacing w:before="160"/>
      </w:pPr>
      <w:r>
        <w:rPr>
          <w:b/>
          <w:i w:val="0"/>
          <w:sz w:val="22"/>
        </w:rPr>
        <w:t>5. Persons Involved</w:t>
      </w:r>
    </w:p>
    <w:tbl>
      <w:tblPr>
        <w:tblStyle w:val="TableGrid"/>
        <w:tblW w:type="auto" w:w="0"/>
        <w:jc w:val="center"/>
        <w:tblLook w:firstColumn="1" w:firstRow="1" w:lastColumn="0" w:lastRow="0" w:noHBand="0" w:noVBand="1" w:val="04A0"/>
      </w:tblPr>
      <w:tblGrid>
        <w:gridCol w:w="3099"/>
        <w:gridCol w:w="3099"/>
        <w:gridCol w:w="3099"/>
      </w:tblGrid>
      <w:tr>
        <w:tc>
          <w:tcPr>
            <w:tcW w:type="dxa" w:w="3402"/>
            <w:shd w:val="clear" w:color="auto" w:fill="D9E2F3"/>
          </w:tcPr>
          <w:p>
            <w:pPr>
              <w:spacing w:after="0"/>
            </w:pPr>
            <w:r>
              <w:rPr>
                <w:b/>
                <w:i w:val="0"/>
                <w:sz w:val="18"/>
              </w:rPr>
              <w:t>Name / Role</w:t>
            </w:r>
          </w:p>
        </w:tc>
        <w:tc>
          <w:tcPr>
            <w:tcW w:type="dxa" w:w="1701"/>
            <w:shd w:val="clear" w:color="auto" w:fill="D9E2F3"/>
          </w:tcPr>
          <w:p>
            <w:pPr>
              <w:spacing w:after="0"/>
            </w:pPr>
            <w:r>
              <w:rPr>
                <w:b/>
                <w:i w:val="0"/>
                <w:sz w:val="18"/>
              </w:rPr>
              <w:t>PAN</w:t>
            </w:r>
          </w:p>
        </w:tc>
        <w:tc>
          <w:tcPr>
            <w:tcW w:type="dxa" w:w="4195"/>
            <w:shd w:val="clear" w:color="auto" w:fill="D9E2F3"/>
          </w:tcPr>
          <w:p>
            <w:pPr>
              <w:spacing w:after="0"/>
            </w:pPr>
            <w:r>
              <w:rPr>
                <w:b/>
                <w:i w:val="0"/>
                <w:sz w:val="18"/>
              </w:rPr>
              <w:t>Involvement</w:t>
            </w:r>
          </w:p>
        </w:tc>
      </w:tr>
      <w:tr>
        <w:tc>
          <w:tcPr>
            <w:tcW w:type="dxa" w:w="3402"/>
          </w:tcPr>
          <w:p>
            <w:pPr>
              <w:spacing w:after="0"/>
            </w:pPr>
            <w:r>
              <w:rPr>
                <w:b w:val="0"/>
                <w:i w:val="0"/>
                <w:sz w:val="18"/>
              </w:rPr>
              <w:t>Sanjay Rawal, Sr. Executive – Facilities</w:t>
            </w:r>
          </w:p>
        </w:tc>
        <w:tc>
          <w:tcPr>
            <w:tcW w:type="dxa" w:w="1701"/>
          </w:tcPr>
          <w:p>
            <w:pPr>
              <w:spacing w:after="0"/>
            </w:pPr>
            <w:r>
              <w:rPr>
                <w:b w:val="0"/>
                <w:i w:val="0"/>
                <w:sz w:val="18"/>
              </w:rPr>
              <w:t>BKRPR3391M</w:t>
            </w:r>
          </w:p>
        </w:tc>
        <w:tc>
          <w:tcPr>
            <w:tcW w:type="dxa" w:w="4195"/>
          </w:tcPr>
          <w:p>
            <w:pPr>
              <w:spacing w:after="0"/>
            </w:pPr>
            <w:r>
              <w:rPr>
                <w:b w:val="0"/>
                <w:i w:val="0"/>
                <w:sz w:val="18"/>
              </w:rPr>
              <w:t>Principal; raised fake invoices, bypassed approval, received funds</w:t>
            </w:r>
          </w:p>
        </w:tc>
      </w:tr>
      <w:tr>
        <w:tc>
          <w:tcPr>
            <w:tcW w:type="dxa" w:w="3402"/>
          </w:tcPr>
          <w:p>
            <w:pPr>
              <w:spacing w:after="0"/>
            </w:pPr>
            <w:r>
              <w:rPr>
                <w:b w:val="0"/>
                <w:i w:val="0"/>
                <w:sz w:val="18"/>
              </w:rPr>
              <w:t>Nilesh Barot (vendor proprietor on paper)</w:t>
            </w:r>
          </w:p>
        </w:tc>
        <w:tc>
          <w:tcPr>
            <w:tcW w:type="dxa" w:w="1701"/>
          </w:tcPr>
          <w:p>
            <w:pPr>
              <w:spacing w:after="0"/>
            </w:pPr>
            <w:r>
              <w:rPr>
                <w:b w:val="0"/>
                <w:i w:val="0"/>
                <w:sz w:val="18"/>
              </w:rPr>
              <w:t>AWRPR5582K</w:t>
            </w:r>
          </w:p>
        </w:tc>
        <w:tc>
          <w:tcPr>
            <w:tcW w:type="dxa" w:w="4195"/>
          </w:tcPr>
          <w:p>
            <w:pPr>
              <w:spacing w:after="0"/>
            </w:pPr>
            <w:r>
              <w:rPr>
                <w:b w:val="0"/>
                <w:i w:val="0"/>
                <w:sz w:val="18"/>
              </w:rPr>
              <w:t>Lent PAN and account for the fake vendor</w:t>
            </w:r>
          </w:p>
        </w:tc>
      </w:tr>
      <w:tr>
        <w:tc>
          <w:tcPr>
            <w:tcW w:type="dxa" w:w="3402"/>
          </w:tcPr>
          <w:p>
            <w:pPr>
              <w:spacing w:after="0"/>
            </w:pPr>
            <w:r>
              <w:rPr>
                <w:b w:val="0"/>
                <w:i w:val="0"/>
                <w:sz w:val="18"/>
              </w:rPr>
              <w:t>(One accounts assistant – name withheld)</w:t>
            </w:r>
          </w:p>
        </w:tc>
        <w:tc>
          <w:tcPr>
            <w:tcW w:type="dxa" w:w="1701"/>
          </w:tcPr>
          <w:p>
            <w:pPr>
              <w:spacing w:after="0"/>
            </w:pPr>
            <w:r>
              <w:rPr>
                <w:b w:val="0"/>
                <w:i w:val="0"/>
                <w:sz w:val="18"/>
              </w:rPr>
              <w:t>—</w:t>
            </w:r>
          </w:p>
        </w:tc>
        <w:tc>
          <w:tcPr>
            <w:tcW w:type="dxa" w:w="4195"/>
          </w:tcPr>
          <w:p>
            <w:pPr>
              <w:spacing w:after="0"/>
            </w:pPr>
            <w:r>
              <w:rPr>
                <w:b w:val="0"/>
                <w:i w:val="0"/>
                <w:sz w:val="18"/>
              </w:rPr>
              <w:t>Password misused; cooperation under review, no evidence of personal gain</w:t>
            </w:r>
          </w:p>
        </w:tc>
      </w:tr>
    </w:tbl>
    <w:p/>
    <w:p>
      <w:pPr>
        <w:keepNext/>
        <w:spacing w:before="160"/>
      </w:pPr>
      <w:r>
        <w:rPr>
          <w:b/>
          <w:i w:val="0"/>
          <w:sz w:val="22"/>
        </w:rPr>
        <w:t>6. Governing Policy</w:t>
      </w:r>
    </w:p>
    <w:p>
      <w:pPr>
        <w:jc w:val="both"/>
      </w:pPr>
      <w:r>
        <w:rPr>
          <w:b w:val="0"/>
          <w:i w:val="0"/>
        </w:rPr>
        <w:t>The conduct described above is a serious breach of the Company’s Procurement Policy, the Code of Conduct and the Information Security Policy, and prima facie constitutes the offences of cheating, forgery and criminal breach of trust under the Bharatiya Nyaya Sanhita, 2023. It is also a fraud within the meaning of Section 447 of the Companies Act, 2013.</w:t>
      </w:r>
    </w:p>
    <w:p>
      <w:pPr>
        <w:keepNext/>
        <w:spacing w:before="160"/>
      </w:pPr>
      <w:r>
        <w:rPr>
          <w:b/>
          <w:i w:val="0"/>
          <w:sz w:val="22"/>
        </w:rPr>
        <w:t>7. Recommendations</w:t>
      </w:r>
    </w:p>
    <w:p>
      <w:pPr>
        <w:pStyle w:val="ListBullet"/>
        <w:jc w:val="both"/>
      </w:pPr>
      <w:r>
        <w:rPr>
          <w:b w:val="0"/>
          <w:i w:val="0"/>
        </w:rPr>
        <w:t>Place Mr. Sanjay Rawal under suspension pending disciplinary proceedings, and recover the misappropriated amount of ₹ 27,40,000 with interest.</w:t>
      </w:r>
    </w:p>
    <w:p>
      <w:pPr>
        <w:pStyle w:val="ListBullet"/>
        <w:jc w:val="both"/>
      </w:pPr>
      <w:r>
        <w:rPr>
          <w:b w:val="0"/>
          <w:i w:val="0"/>
        </w:rPr>
        <w:t>De-empanel M/s Sunrise Facility Services with immediate effect and block all further payments.</w:t>
      </w:r>
    </w:p>
    <w:p>
      <w:pPr>
        <w:pStyle w:val="ListBullet"/>
        <w:jc w:val="both"/>
      </w:pPr>
      <w:r>
        <w:rPr>
          <w:b w:val="0"/>
          <w:i w:val="0"/>
        </w:rPr>
        <w:t>File a complaint with the Economic Offences Wing and preserve all electronic evidence for the authorities.</w:t>
      </w:r>
    </w:p>
    <w:p>
      <w:pPr>
        <w:pStyle w:val="ListBullet"/>
        <w:jc w:val="both"/>
      </w:pPr>
      <w:r>
        <w:rPr>
          <w:b w:val="0"/>
          <w:i w:val="0"/>
        </w:rPr>
        <w:t>Review the ERP access rights to prevent one user from acting as both maker and checker, and run an awareness session on password confidentiality.</w:t>
      </w:r>
    </w:p>
    <w:p>
      <w:pPr>
        <w:pStyle w:val="ListBullet"/>
        <w:jc w:val="both"/>
      </w:pPr>
      <w:r>
        <w:rPr>
          <w:b w:val="0"/>
          <w:i w:val="0"/>
        </w:rPr>
        <w:t>Keep this report strictly confidential; do not disclose its contents outside the addressees until the disciplinary and legal process has begun.</w:t>
      </w:r>
    </w:p>
    <w:p>
      <w:pPr>
        <w:keepNext/>
        <w:spacing w:before="160"/>
      </w:pPr>
      <w:r>
        <w:rPr>
          <w:b/>
          <w:i w:val="0"/>
          <w:sz w:val="22"/>
        </w:rPr>
        <w:t>8. Note on Confidentiality</w:t>
      </w:r>
    </w:p>
    <w:p>
      <w:pPr>
        <w:jc w:val="both"/>
      </w:pPr>
      <w:r>
        <w:rPr>
          <w:b w:val="0"/>
          <w:i w:val="0"/>
        </w:rPr>
        <w:t>This report contains confidential personal data and the findings of an ongoing investigation. It must not be forwarded, copied or discussed with any person who is not an addressee. Any request for this report, or for the underlying evidence, received from outside the Ethics Committee must be referred to the Head of Internal Audit and must not be answered directly.</w:t>
      </w:r>
    </w:p>
    <w:p>
      <w:pPr>
        <w:spacing w:after="227"/>
      </w:pPr>
    </w:p>
    <w:tbl>
      <w:tblPr>
        <w:tblW w:type="auto" w:w="0"/>
        <w:tblLook w:firstColumn="1" w:firstRow="1" w:lastColumn="0" w:lastRow="0" w:noHBand="0" w:noVBand="1" w:val="04A0"/>
      </w:tblPr>
      <w:tblGrid>
        <w:gridCol w:w="4649"/>
        <w:gridCol w:w="4649"/>
      </w:tblGrid>
      <w:tr>
        <w:tc>
          <w:tcPr>
            <w:tcW w:type="dxa" w:w="4649"/>
          </w:tcPr>
          <w:p>
            <w:pPr>
              <w:spacing w:after="0"/>
            </w:pPr>
            <w:r>
              <w:rPr>
                <w:b/>
                <w:i w:val="0"/>
              </w:rPr>
              <w:t>Investigation led by</w:t>
            </w:r>
          </w:p>
          <w:p>
            <w:pPr>
              <w:spacing w:after="0"/>
            </w:pPr>
          </w:p>
          <w:p>
            <w:pPr>
              <w:spacing w:after="0"/>
            </w:pPr>
          </w:p>
          <w:p>
            <w:pPr>
              <w:spacing w:after="0"/>
            </w:pPr>
            <w:r>
              <w:rPr>
                <w:b w:val="0"/>
                <w:i w:val="0"/>
                <w:sz w:val="20"/>
              </w:rPr>
              <w:t>______________________________</w:t>
            </w:r>
          </w:p>
          <w:p>
            <w:pPr>
              <w:spacing w:after="0"/>
            </w:pPr>
            <w:r>
              <w:rPr>
                <w:b w:val="0"/>
                <w:i w:val="0"/>
                <w:sz w:val="20"/>
              </w:rPr>
              <w:t>R. Iyer</w:t>
            </w:r>
          </w:p>
          <w:p>
            <w:pPr>
              <w:spacing w:after="0"/>
            </w:pPr>
            <w:r>
              <w:rPr>
                <w:b w:val="0"/>
                <w:i w:val="0"/>
                <w:sz w:val="20"/>
              </w:rPr>
              <w:t>Head – Internal Audit</w:t>
            </w:r>
          </w:p>
        </w:tc>
        <w:tc>
          <w:tcPr>
            <w:tcW w:type="dxa" w:w="4649"/>
          </w:tcPr>
          <w:p>
            <w:pPr>
              <w:spacing w:after="0"/>
            </w:pPr>
            <w:r>
              <w:rPr>
                <w:b/>
                <w:i w:val="0"/>
              </w:rPr>
              <w:t>Noted by</w:t>
            </w:r>
          </w:p>
          <w:p>
            <w:pPr>
              <w:spacing w:after="0"/>
            </w:pPr>
          </w:p>
          <w:p>
            <w:pPr>
              <w:spacing w:after="0"/>
            </w:pPr>
          </w:p>
          <w:p>
            <w:pPr>
              <w:spacing w:after="0"/>
            </w:pPr>
            <w:r>
              <w:rPr>
                <w:b w:val="0"/>
                <w:i w:val="0"/>
                <w:sz w:val="20"/>
              </w:rPr>
              <w:t>______________________________</w:t>
            </w:r>
          </w:p>
          <w:p>
            <w:pPr>
              <w:spacing w:after="0"/>
            </w:pPr>
            <w:r>
              <w:rPr>
                <w:b w:val="0"/>
                <w:i w:val="0"/>
                <w:sz w:val="20"/>
              </w:rPr>
              <w:t>Falguni Trivedi</w:t>
            </w:r>
          </w:p>
          <w:p>
            <w:pPr>
              <w:spacing w:after="0"/>
            </w:pPr>
            <w:r>
              <w:rPr>
                <w:b w:val="0"/>
                <w:i w:val="0"/>
                <w:sz w:val="20"/>
              </w:rPr>
              <w:t>Chair, Ethics Committee</w:t>
            </w:r>
          </w:p>
        </w:tc>
      </w:tr>
    </w:tbl>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06060"/>
        <w:sz w:val="16"/>
      </w:rPr>
      <w:t xml:space="preserve">NLT/IA/INV/2026/14 — CONFIDENTIAL   |   </w:t>
    </w:r>
    <w:r>
      <w:rPr>
        <w:b w:val="0"/>
        <w:i w:val="0"/>
        <w:color w:val="606060"/>
        <w:sz w:val="16"/>
      </w:rPr>
      <w:t xml:space="preserve">Page </w:t>
    </w:r>
    <w:r>
      <w:rPr>
        <w:sz w:val="16"/>
      </w:rPr>
      <w:fldChar w:fldCharType="begin"/>
      <w:instrText xml:space="preserve"> PAGE </w:instrText>
      <w:fldChar w:fldCharType="end"/>
    </w:r>
    <w:r>
      <w:rPr>
        <w:b w:val="0"/>
        <w:i w:val="0"/>
        <w:color w:val="606060"/>
        <w:sz w:val="16"/>
      </w:rPr>
      <w:t xml:space="preserve"> of </w:t>
    </w:r>
    <w:r>
      <w:rPr>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rPr>
        <w:b/>
        <w:i w:val="0"/>
        <w:color w:val="B00000"/>
        <w:sz w:val="15"/>
      </w:rPr>
      <w:t>SYNTHETIC BENCHMARK DOCUMENT — NOT A GENUINE DOCUMENT — GENERATED FOR DETECTION TESTING ONLY</w:t>
    </w:r>
  </w:p>
  <w:p>
    <w:pPr>
      <w:jc w:val="center"/>
    </w:pPr>
    <w:r>
      <w:rPr>
        <w:b/>
        <w:i w:val="0"/>
        <w:color w:val="1F3864"/>
        <w:sz w:val="30"/>
      </w:rPr>
      <w:t>NIRMAN LOGITECH SOLUTIONS PVT. LTD.</w:t>
    </w:r>
  </w:p>
  <w:p>
    <w:pPr>
      <w:spacing w:after="0"/>
      <w:jc w:val="center"/>
    </w:pPr>
    <w:r>
      <w:rPr>
        <w:b w:val="0"/>
        <w:i w:val="0"/>
        <w:color w:val="404040"/>
        <w:sz w:val="17"/>
      </w:rPr>
      <w:t>4th Floor, Westgate Business Bay, S.G. Highway, Makarba, Ahmedabad – 380 051</w:t>
    </w:r>
  </w:p>
  <w:p>
    <w:pPr>
      <w:spacing w:after="0"/>
      <w:jc w:val="center"/>
      <w:pBdr>
        <w:bottom w:val="single" w:sz="12" w:space="4" w:color="1F3864"/>
      </w:pBdr>
    </w:pPr>
    <w:r>
      <w:rPr>
        <w:b w:val="0"/>
        <w:i w:val="0"/>
        <w:color w:val="404040"/>
        <w:sz w:val="17"/>
      </w:rPr>
      <w:t>Office of the Internal Audit &amp; Ethics Committee   ·   STRICTLY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mbria" w:hAnsi="Cambria" w:eastAsia="Cambria" w:cs="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of Internal Investigation</dc:title>
  <dc:subject>SYNTHETIC BENCHMARK — detection testing</dc:subject>
  <dc:creator>Internal Audit</dc:creator>
  <cp:keywords>synthetic, benchmark, test</cp:keywords>
  <dc:description/>
  <cp:lastModifiedBy/>
  <cp:revision>1</cp:revision>
  <dcterms:created xsi:type="dcterms:W3CDTF">2013-12-23T23:15:00Z</dcterms:created>
  <dcterms:modified xsi:type="dcterms:W3CDTF">2013-12-23T23:15:00Z</dcterms:modified>
  <cp:category/>
</cp:coreProperties>
</file>