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Memo No. SPW/FIN/IM/2026/231</w:t>
      </w:r>
    </w:p>
    <w:p>
      <w:pPr>
        <w:jc w:val="right"/>
      </w:pPr>
      <w:r>
        <w:rPr>
          <w:b w:val="0"/>
          <w:i w:val="0"/>
        </w:rPr>
        <w:t>Date: 11 October 2026</w:t>
      </w:r>
    </w:p>
    <w:p>
      <w:pPr>
        <w:spacing w:after="20"/>
      </w:pPr>
      <w:r>
        <w:rPr>
          <w:b/>
          <w:i w:val="0"/>
        </w:rPr>
        <w:t xml:space="preserve">From: </w:t>
      </w:r>
      <w:r>
        <w:rPr>
          <w:b w:val="0"/>
          <w:i w:val="0"/>
        </w:rPr>
        <w:t>Hemal Vora, Finance Controller</w:t>
      </w:r>
    </w:p>
    <w:p>
      <w:pPr>
        <w:spacing w:after="20"/>
      </w:pPr>
      <w:r>
        <w:rPr>
          <w:b/>
          <w:i w:val="0"/>
        </w:rPr>
        <w:t xml:space="preserve">To: </w:t>
      </w:r>
      <w:r>
        <w:rPr>
          <w:b w:val="0"/>
          <w:i w:val="0"/>
        </w:rPr>
        <w:t>Dilip Chauhan, Accounts Manager; Paresh Modi, Site Accountant (Bharuch)</w:t>
      </w:r>
    </w:p>
    <w:p>
      <w:pPr>
        <w:spacing w:after="20"/>
      </w:pPr>
      <w:r>
        <w:rPr>
          <w:b/>
          <w:i w:val="0"/>
        </w:rPr>
        <w:t xml:space="preserve">CC: </w:t>
      </w:r>
      <w:r>
        <w:rPr>
          <w:b w:val="0"/>
          <w:i w:val="0"/>
        </w:rPr>
        <w:t>(none — do not circulate)</w:t>
      </w:r>
    </w:p>
    <w:p>
      <w:pPr>
        <w:spacing w:before="120"/>
        <w:jc w:val="center"/>
      </w:pPr>
      <w:r>
        <w:rPr>
          <w:b/>
          <w:i w:val="0"/>
          <w:sz w:val="28"/>
        </w:rPr>
        <w:t>INTERNAL MEMORANDUM</w:t>
      </w:r>
    </w:p>
    <w:p>
      <w:pPr>
        <w:jc w:val="center"/>
      </w:pPr>
      <w:r>
        <w:rPr>
          <w:b w:val="0"/>
          <w:i/>
          <w:sz w:val="21"/>
        </w:rPr>
        <w:t>Subject: Settlement of M/s Giriraj Earthmovers’ dues for the Bharuch site — strictly confidential</w:t>
      </w:r>
    </w:p>
    <w:p>
      <w:pPr>
        <w:jc w:val="both"/>
      </w:pPr>
      <w:r>
        <w:rPr>
          <w:b w:val="0"/>
          <w:i w:val="0"/>
        </w:rPr>
        <w:t>This memorandum records the instructions of the office of the Managing Director regarding the payment to M/s Giriraj Earthmovers for the additional site-levelling and soil-filling work carried out at the Bharuch expansion plot during August and September 2026. The matter is sensitive and confidential, and this memo is to be kept strictly between the three of us. Please do not disclose it to anybody else in the department.</w:t>
      </w:r>
    </w:p>
    <w:p>
      <w:pPr>
        <w:keepNext/>
        <w:spacing w:before="160"/>
      </w:pPr>
      <w:r>
        <w:rPr>
          <w:b/>
          <w:i w:val="0"/>
          <w:sz w:val="23"/>
        </w:rPr>
        <w:t>1. Background</w:t>
      </w:r>
    </w:p>
    <w:p>
      <w:pPr>
        <w:jc w:val="both"/>
      </w:pPr>
      <w:r>
        <w:rPr>
          <w:b w:val="0"/>
          <w:i w:val="0"/>
        </w:rPr>
        <w:t>The additional work was ordered verbally at site and was not covered by any written work order or approved budget line. The vendor has raised a demand for ₹ 24,80,000. The Finance Controller’s office is not in a position to route this through the normal vendor-approval workflow because there is no sanctioned purchase order, and raising one now would require the approval of the Finance Committee, which would delay the project and invite questions about how the work was ordered in the first place. It has therefore been decided to handle this payment outside the normal process.</w:t>
      </w:r>
    </w:p>
    <w:p>
      <w:pPr>
        <w:keepNext/>
        <w:spacing w:before="160"/>
      </w:pPr>
      <w:r>
        <w:rPr>
          <w:b/>
          <w:i w:val="0"/>
          <w:sz w:val="23"/>
        </w:rPr>
        <w:t>2. Instructions</w:t>
      </w:r>
    </w:p>
    <w:p>
      <w:pPr>
        <w:tabs>
          <w:tab w:pos="567" w:val="left"/>
        </w:tabs>
        <w:ind w:left="567" w:hanging="567"/>
        <w:jc w:val="both"/>
      </w:pPr>
      <w:r>
        <w:rPr>
          <w:b w:val="0"/>
          <w:i w:val="0"/>
        </w:rPr>
        <w:t>2.1</w:t>
        <w:tab/>
      </w:r>
      <w:r>
        <w:rPr>
          <w:b w:val="0"/>
          <w:i w:val="0"/>
        </w:rPr>
        <w:t>The payment shall be made in three tranches so that no single transaction is large enough to attract attention in the monthly MIS. Each tranche is to be booked under the head “miscellaneous site expenses — Bharuch” and not against the vendor’s name.</w:t>
      </w:r>
    </w:p>
    <w:p>
      <w:pPr>
        <w:tabs>
          <w:tab w:pos="567" w:val="left"/>
        </w:tabs>
        <w:ind w:left="567" w:hanging="567"/>
        <w:jc w:val="both"/>
      </w:pPr>
      <w:r>
        <w:rPr>
          <w:b w:val="0"/>
          <w:i w:val="0"/>
        </w:rPr>
        <w:t>2.2</w:t>
        <w:tab/>
      </w:r>
      <w:r>
        <w:rPr>
          <w:b w:val="0"/>
          <w:i w:val="0"/>
        </w:rPr>
        <w:t>Of the total, ₹ 18,00,000 shall be paid by bank transfer to the vendor’s account, and the balance ₹ 6,80,000 shall be arranged in cash through the site-petty-cash top-up, against self-made vouchers. Bypass the normal vendor-approval workflow; this payment is being made on the specific instruction of the office of the Managing Director, without approval of the Finance Committee.</w:t>
      </w:r>
    </w:p>
    <w:p>
      <w:pPr>
        <w:tabs>
          <w:tab w:pos="567" w:val="left"/>
        </w:tabs>
        <w:ind w:left="567" w:hanging="567"/>
        <w:jc w:val="both"/>
      </w:pPr>
      <w:r>
        <w:rPr>
          <w:b w:val="0"/>
          <w:i w:val="0"/>
        </w:rPr>
        <w:t>2.3</w:t>
        <w:tab/>
      </w:r>
      <w:r>
        <w:rPr>
          <w:b w:val="0"/>
          <w:i w:val="0"/>
        </w:rPr>
        <w:t>The supporting invoices from M/s Giriraj Earthmovers are to be dated across three months to match the tranches. The site accountant will prepare back-dated measurement sheets to support the invoices. Keep these working papers out of the ERP and off the record of the monthly MIS.</w:t>
      </w:r>
    </w:p>
    <w:p>
      <w:pPr>
        <w:tabs>
          <w:tab w:pos="567" w:val="left"/>
        </w:tabs>
        <w:ind w:left="567" w:hanging="567"/>
        <w:jc w:val="both"/>
      </w:pPr>
      <w:r>
        <w:rPr>
          <w:b w:val="0"/>
          <w:i w:val="0"/>
        </w:rPr>
        <w:t>2.4</w:t>
        <w:tab/>
      </w:r>
      <w:r>
        <w:rPr>
          <w:b w:val="0"/>
          <w:i w:val="0"/>
        </w:rPr>
        <w:t>Do not share with compliance, with internal audit or with the statutory auditors any of the papers relating to this transaction. If internal audit raises a query during the half-yearly review, refer them to this office and do not provide documents directly. Do not keep evidence of the cash component beyond the self-made vouchers.</w:t>
      </w:r>
    </w:p>
    <w:p>
      <w:pPr>
        <w:tabs>
          <w:tab w:pos="567" w:val="left"/>
        </w:tabs>
        <w:ind w:left="567" w:hanging="567"/>
        <w:jc w:val="both"/>
      </w:pPr>
      <w:r>
        <w:rPr>
          <w:b w:val="0"/>
          <w:i w:val="0"/>
        </w:rPr>
        <w:t>2.5</w:t>
        <w:tab/>
      </w:r>
      <w:r>
        <w:rPr>
          <w:b w:val="0"/>
          <w:i w:val="0"/>
        </w:rPr>
        <w:t>This memo is confidential and is to be treated as classified. Please delete the e-mail conveying it after you have read it, and do not keep a copy on the shared drive. No paper trail beyond what is strictly necessary should be created, and this instruction must not be discussed over the office telephone.</w:t>
      </w:r>
    </w:p>
    <w:p>
      <w:pPr>
        <w:tabs>
          <w:tab w:pos="567" w:val="left"/>
        </w:tabs>
        <w:ind w:left="567" w:hanging="567"/>
        <w:jc w:val="both"/>
      </w:pPr>
      <w:r>
        <w:rPr>
          <w:b w:val="0"/>
          <w:i w:val="0"/>
        </w:rPr>
        <w:t>2.6</w:t>
        <w:tab/>
      </w:r>
      <w:r>
        <w:rPr>
          <w:b w:val="0"/>
          <w:i w:val="0"/>
        </w:rPr>
        <w:t>The bank transfers are to be made in the last hour of the working day, when the volume of transactions is high, so that these entries do not stand out in the daily bank reconciliation. The narration for each transfer in the banking portal should read only “site expenses” and should not mention the vendor or the project.</w:t>
      </w:r>
    </w:p>
    <w:p>
      <w:pPr>
        <w:tabs>
          <w:tab w:pos="567" w:val="left"/>
        </w:tabs>
        <w:ind w:left="567" w:hanging="567"/>
        <w:jc w:val="both"/>
      </w:pPr>
      <w:r>
        <w:rPr>
          <w:b w:val="0"/>
          <w:i w:val="0"/>
        </w:rPr>
        <w:t>2.7</w:t>
        <w:tab/>
      </w:r>
      <w:r>
        <w:rPr>
          <w:b w:val="0"/>
          <w:i w:val="0"/>
        </w:rPr>
        <w:t>The cash component is to be drawn against the site-petty-cash imprest in two or three withdrawals of different amounts, and the self-made vouchers are to be signed only by Paresh. Do not obtain the vendor’s acknowledgement for the cash in writing; it will be confirmed verbally. Keep the cash record separate from the main cash book and hand it to me personally at the end of each month.</w:t>
      </w:r>
    </w:p>
    <w:p>
      <w:pPr>
        <w:keepNext/>
        <w:spacing w:before="160"/>
      </w:pPr>
      <w:r>
        <w:rPr>
          <w:b/>
          <w:i w:val="0"/>
          <w:sz w:val="23"/>
        </w:rPr>
        <w:t>3. Reasons and Context (for our understanding only)</w:t>
      </w:r>
    </w:p>
    <w:p>
      <w:pPr>
        <w:jc w:val="both"/>
      </w:pPr>
      <w:r>
        <w:rPr>
          <w:b w:val="0"/>
          <w:i w:val="0"/>
        </w:rPr>
        <w:t>I am aware that this arrangement is irregular, and I am recording these instructions only so that the three of us are clear about what is to be done and why. The work was genuinely carried out, and the vendor is pressing hard for payment; at the same time, the office of the Managing Director does not want the circumstances in which the work was ordered to become a subject of discussion in the Finance Committee or with the auditors at this stage. We are therefore to settle the vendor quietly now, and the matter will be regularised internally later if and when it becomes necessary. I take responsibility for this decision; you are only acting on my instructions. Nevertheless, because this falls outside the normal process, it is essential that it remains strictly between us and that nothing is committed to writing beyond this single memo, which is itself to be destroyed once read.</w:t>
      </w:r>
    </w:p>
    <w:p>
      <w:pPr>
        <w:keepNext/>
        <w:spacing w:before="160"/>
      </w:pPr>
      <w:r>
        <w:rPr>
          <w:b/>
          <w:i w:val="0"/>
          <w:sz w:val="23"/>
        </w:rPr>
        <w:t>4. Payment schedule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907"/>
            <w:shd w:val="clear" w:color="auto" w:fill="D9E2F3"/>
          </w:tcPr>
          <w:p>
            <w:pPr>
              <w:spacing w:after="0"/>
            </w:pPr>
            <w:r>
              <w:rPr>
                <w:b/>
                <w:i w:val="0"/>
                <w:sz w:val="19"/>
              </w:rPr>
              <w:t>Tranche</w:t>
            </w:r>
          </w:p>
        </w:tc>
        <w:tc>
          <w:tcPr>
            <w:tcW w:type="dxa" w:w="3175"/>
            <w:shd w:val="clear" w:color="auto" w:fill="D9E2F3"/>
          </w:tcPr>
          <w:p>
            <w:pPr>
              <w:spacing w:after="0"/>
            </w:pPr>
            <w:r>
              <w:rPr>
                <w:b/>
                <w:i w:val="0"/>
                <w:sz w:val="19"/>
              </w:rPr>
              <w:t>Mode</w:t>
            </w:r>
          </w:p>
        </w:tc>
        <w:tc>
          <w:tcPr>
            <w:tcW w:type="dxa" w:w="1701"/>
            <w:shd w:val="clear" w:color="auto" w:fill="D9E2F3"/>
          </w:tcPr>
          <w:p>
            <w:pPr>
              <w:spacing w:after="0"/>
            </w:pPr>
            <w:r>
              <w:rPr>
                <w:b/>
                <w:i w:val="0"/>
                <w:sz w:val="19"/>
              </w:rPr>
              <w:t>Amount (₹)</w:t>
            </w:r>
          </w:p>
        </w:tc>
        <w:tc>
          <w:tcPr>
            <w:tcW w:type="dxa" w:w="1587"/>
            <w:shd w:val="clear" w:color="auto" w:fill="D9E2F3"/>
          </w:tcPr>
          <w:p>
            <w:pPr>
              <w:spacing w:after="0"/>
            </w:pPr>
            <w:r>
              <w:rPr>
                <w:b/>
                <w:i w:val="0"/>
                <w:sz w:val="19"/>
              </w:rPr>
              <w:t>Target date</w:t>
            </w:r>
          </w:p>
        </w:tc>
        <w:tc>
          <w:tcPr>
            <w:tcW w:type="dxa" w:w="1928"/>
            <w:shd w:val="clear" w:color="auto" w:fill="D9E2F3"/>
          </w:tcPr>
          <w:p>
            <w:pPr>
              <w:spacing w:after="0"/>
            </w:pPr>
            <w:r>
              <w:rPr>
                <w:b/>
                <w:i w:val="0"/>
                <w:sz w:val="19"/>
              </w:rPr>
              <w:t>Booking head</w:t>
            </w:r>
          </w:p>
        </w:tc>
      </w:tr>
      <w:tr>
        <w:tc>
          <w:tcPr>
            <w:tcW w:type="dxa" w:w="907"/>
          </w:tcPr>
          <w:p>
            <w:pPr>
              <w:spacing w:after="0"/>
            </w:pPr>
            <w:r>
              <w:rPr>
                <w:b w:val="0"/>
                <w:i w:val="0"/>
                <w:sz w:val="19"/>
              </w:rPr>
              <w:t>1</w:t>
            </w:r>
          </w:p>
        </w:tc>
        <w:tc>
          <w:tcPr>
            <w:tcW w:type="dxa" w:w="3175"/>
          </w:tcPr>
          <w:p>
            <w:pPr>
              <w:spacing w:after="0"/>
            </w:pPr>
            <w:r>
              <w:rPr>
                <w:b w:val="0"/>
                <w:i w:val="0"/>
                <w:sz w:val="19"/>
              </w:rPr>
              <w:t>Bank transfer</w:t>
            </w:r>
          </w:p>
        </w:tc>
        <w:tc>
          <w:tcPr>
            <w:tcW w:type="dxa" w:w="1701"/>
          </w:tcPr>
          <w:p>
            <w:pPr>
              <w:spacing w:after="0"/>
            </w:pPr>
            <w:r>
              <w:rPr>
                <w:b w:val="0"/>
                <w:i w:val="0"/>
                <w:sz w:val="19"/>
              </w:rPr>
              <w:t>7,00,000</w:t>
            </w:r>
          </w:p>
        </w:tc>
        <w:tc>
          <w:tcPr>
            <w:tcW w:type="dxa" w:w="1587"/>
          </w:tcPr>
          <w:p>
            <w:pPr>
              <w:spacing w:after="0"/>
            </w:pPr>
            <w:r>
              <w:rPr>
                <w:b w:val="0"/>
                <w:i w:val="0"/>
                <w:sz w:val="19"/>
              </w:rPr>
              <w:t>18 Oct 2026</w:t>
            </w:r>
          </w:p>
        </w:tc>
        <w:tc>
          <w:tcPr>
            <w:tcW w:type="dxa" w:w="1928"/>
          </w:tcPr>
          <w:p>
            <w:pPr>
              <w:spacing w:after="0"/>
            </w:pPr>
            <w:r>
              <w:rPr>
                <w:b w:val="0"/>
                <w:i w:val="0"/>
                <w:sz w:val="19"/>
              </w:rPr>
              <w:t>Misc. site expenses — Bharuch</w:t>
            </w:r>
          </w:p>
        </w:tc>
      </w:tr>
      <w:tr>
        <w:tc>
          <w:tcPr>
            <w:tcW w:type="dxa" w:w="907"/>
          </w:tcPr>
          <w:p>
            <w:pPr>
              <w:spacing w:after="0"/>
            </w:pPr>
            <w:r>
              <w:rPr>
                <w:b w:val="0"/>
                <w:i w:val="0"/>
                <w:sz w:val="19"/>
              </w:rPr>
              <w:t>2</w:t>
            </w:r>
          </w:p>
        </w:tc>
        <w:tc>
          <w:tcPr>
            <w:tcW w:type="dxa" w:w="3175"/>
          </w:tcPr>
          <w:p>
            <w:pPr>
              <w:spacing w:after="0"/>
            </w:pPr>
            <w:r>
              <w:rPr>
                <w:b w:val="0"/>
                <w:i w:val="0"/>
                <w:sz w:val="19"/>
              </w:rPr>
              <w:t>Bank transfer</w:t>
            </w:r>
          </w:p>
        </w:tc>
        <w:tc>
          <w:tcPr>
            <w:tcW w:type="dxa" w:w="1701"/>
          </w:tcPr>
          <w:p>
            <w:pPr>
              <w:spacing w:after="0"/>
            </w:pPr>
            <w:r>
              <w:rPr>
                <w:b w:val="0"/>
                <w:i w:val="0"/>
                <w:sz w:val="19"/>
              </w:rPr>
              <w:t>7,00,000</w:t>
            </w:r>
          </w:p>
        </w:tc>
        <w:tc>
          <w:tcPr>
            <w:tcW w:type="dxa" w:w="1587"/>
          </w:tcPr>
          <w:p>
            <w:pPr>
              <w:spacing w:after="0"/>
            </w:pPr>
            <w:r>
              <w:rPr>
                <w:b w:val="0"/>
                <w:i w:val="0"/>
                <w:sz w:val="19"/>
              </w:rPr>
              <w:t>08 Nov 2026</w:t>
            </w:r>
          </w:p>
        </w:tc>
        <w:tc>
          <w:tcPr>
            <w:tcW w:type="dxa" w:w="1928"/>
          </w:tcPr>
          <w:p>
            <w:pPr>
              <w:spacing w:after="0"/>
            </w:pPr>
            <w:r>
              <w:rPr>
                <w:b w:val="0"/>
                <w:i w:val="0"/>
                <w:sz w:val="19"/>
              </w:rPr>
              <w:t>Misc. site expenses — Bharuch</w:t>
            </w:r>
          </w:p>
        </w:tc>
      </w:tr>
      <w:tr>
        <w:tc>
          <w:tcPr>
            <w:tcW w:type="dxa" w:w="907"/>
          </w:tcPr>
          <w:p>
            <w:pPr>
              <w:spacing w:after="0"/>
            </w:pPr>
            <w:r>
              <w:rPr>
                <w:b w:val="0"/>
                <w:i w:val="0"/>
                <w:sz w:val="19"/>
              </w:rPr>
              <w:t>3</w:t>
            </w:r>
          </w:p>
        </w:tc>
        <w:tc>
          <w:tcPr>
            <w:tcW w:type="dxa" w:w="3175"/>
          </w:tcPr>
          <w:p>
            <w:pPr>
              <w:spacing w:after="0"/>
            </w:pPr>
            <w:r>
              <w:rPr>
                <w:b w:val="0"/>
                <w:i w:val="0"/>
                <w:sz w:val="19"/>
              </w:rPr>
              <w:t>Bank transfer ₹4,00,000 + cash ₹6,80,000</w:t>
            </w:r>
          </w:p>
        </w:tc>
        <w:tc>
          <w:tcPr>
            <w:tcW w:type="dxa" w:w="1701"/>
          </w:tcPr>
          <w:p>
            <w:pPr>
              <w:spacing w:after="0"/>
            </w:pPr>
            <w:r>
              <w:rPr>
                <w:b w:val="0"/>
                <w:i w:val="0"/>
                <w:sz w:val="19"/>
              </w:rPr>
              <w:t>10,80,000</w:t>
            </w:r>
          </w:p>
        </w:tc>
        <w:tc>
          <w:tcPr>
            <w:tcW w:type="dxa" w:w="1587"/>
          </w:tcPr>
          <w:p>
            <w:pPr>
              <w:spacing w:after="0"/>
            </w:pPr>
            <w:r>
              <w:rPr>
                <w:b w:val="0"/>
                <w:i w:val="0"/>
                <w:sz w:val="19"/>
              </w:rPr>
              <w:t>29 Nov 2026</w:t>
            </w:r>
          </w:p>
        </w:tc>
        <w:tc>
          <w:tcPr>
            <w:tcW w:type="dxa" w:w="1928"/>
          </w:tcPr>
          <w:p>
            <w:pPr>
              <w:spacing w:after="0"/>
            </w:pPr>
            <w:r>
              <w:rPr>
                <w:b w:val="0"/>
                <w:i w:val="0"/>
                <w:sz w:val="19"/>
              </w:rPr>
              <w:t>Misc. site expenses — Bharuch</w:t>
            </w:r>
          </w:p>
        </w:tc>
      </w:tr>
    </w:tbl>
    <w:p/>
    <w:p>
      <w:pPr>
        <w:jc w:val="both"/>
      </w:pPr>
      <w:r>
        <w:rPr>
          <w:b w:val="0"/>
          <w:i w:val="0"/>
        </w:rPr>
        <w:t>Vendor bank details for the transfers: M/s Giriraj Earthmovers, Account No. 60291044817523, IFSC KKBK0002611, Kotak Mahindra Bank, Bharuch Branch, GSTIN 24AAGFG4471R1Z8. The cash component will be handled separately; Paresh will be told the arrangement in person, not in writing.</w:t>
      </w:r>
    </w:p>
    <w:p>
      <w:pPr>
        <w:keepNext/>
        <w:spacing w:before="160"/>
      </w:pPr>
      <w:r>
        <w:rPr>
          <w:b/>
          <w:i w:val="0"/>
          <w:sz w:val="23"/>
        </w:rPr>
        <w:t>5. Acknowledgement</w:t>
      </w:r>
    </w:p>
    <w:p>
      <w:pPr>
        <w:jc w:val="both"/>
      </w:pPr>
      <w:r>
        <w:rPr>
          <w:b w:val="0"/>
          <w:i w:val="0"/>
        </w:rPr>
        <w:t>Kindly acknowledge receipt of this memo to me in person and not by e-mail. Once the three of us have read it, this copy is to be destroyed. If anybody outside this group asks about the Giriraj payments, the only answer is that they are routine site expenses being processed in the normal course. This arrangement is confidential and must not be disclosed.</w:t>
      </w:r>
    </w:p>
    <w:p>
      <w:pPr>
        <w:spacing w:after="227"/>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Issued by</w:t>
            </w:r>
          </w:p>
          <w:p>
            <w:pPr>
              <w:spacing w:after="0"/>
            </w:pPr>
          </w:p>
          <w:p>
            <w:pPr>
              <w:spacing w:after="0"/>
            </w:pPr>
          </w:p>
          <w:p>
            <w:pPr>
              <w:spacing w:after="0"/>
            </w:pPr>
            <w:r>
              <w:rPr>
                <w:b w:val="0"/>
                <w:i w:val="0"/>
                <w:sz w:val="21"/>
              </w:rPr>
              <w:t>______________________________</w:t>
            </w:r>
          </w:p>
          <w:p>
            <w:pPr>
              <w:spacing w:after="0"/>
            </w:pPr>
            <w:r>
              <w:rPr>
                <w:b w:val="0"/>
                <w:i w:val="0"/>
                <w:sz w:val="21"/>
              </w:rPr>
              <w:t>Hemal Vora</w:t>
            </w:r>
          </w:p>
          <w:p>
            <w:pPr>
              <w:spacing w:after="0"/>
            </w:pPr>
            <w:r>
              <w:rPr>
                <w:b w:val="0"/>
                <w:i w:val="0"/>
                <w:sz w:val="21"/>
              </w:rPr>
              <w:t>Finance Controller</w:t>
            </w:r>
          </w:p>
        </w:tc>
        <w:tc>
          <w:tcPr>
            <w:tcW w:type="dxa" w:w="4649"/>
          </w:tcPr>
          <w:p>
            <w:pPr>
              <w:spacing w:after="0"/>
            </w:pPr>
            <w:r>
              <w:rPr>
                <w:b/>
                <w:i w:val="0"/>
              </w:rPr>
              <w:t>On the instructions of</w:t>
            </w:r>
          </w:p>
          <w:p>
            <w:pPr>
              <w:spacing w:after="0"/>
            </w:pPr>
          </w:p>
          <w:p>
            <w:pPr>
              <w:spacing w:after="0"/>
            </w:pPr>
          </w:p>
          <w:p>
            <w:pPr>
              <w:spacing w:after="0"/>
            </w:pPr>
            <w:r>
              <w:rPr>
                <w:b w:val="0"/>
                <w:i w:val="0"/>
                <w:sz w:val="21"/>
              </w:rPr>
              <w:t>______________________________</w:t>
            </w:r>
          </w:p>
          <w:p>
            <w:pPr>
              <w:spacing w:after="0"/>
            </w:pPr>
            <w:r>
              <w:rPr>
                <w:b w:val="0"/>
                <w:i w:val="0"/>
                <w:sz w:val="21"/>
              </w:rPr>
              <w:t>(verbal)</w:t>
            </w:r>
          </w:p>
          <w:p>
            <w:pPr>
              <w:spacing w:after="0"/>
            </w:pPr>
            <w:r>
              <w:rPr>
                <w:b w:val="0"/>
                <w:i w:val="0"/>
                <w:sz w:val="21"/>
              </w:rPr>
              <w:t>Office of the Managing Director</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CONFIDENTIAL — internal memo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SHREEJI POLYMER WORKS PVT. LTD.</w:t>
    </w:r>
  </w:p>
  <w:p>
    <w:pPr>
      <w:spacing w:after="0"/>
      <w:jc w:val="center"/>
    </w:pPr>
    <w:r>
      <w:rPr>
        <w:b w:val="0"/>
        <w:i w:val="0"/>
        <w:color w:val="404040"/>
        <w:sz w:val="17"/>
      </w:rPr>
      <w:t>Internal Memorandum   ·   Finance &amp; Accounts Department   ·   Vatva / Bharuch</w:t>
    </w:r>
  </w:p>
  <w:p>
    <w:pPr>
      <w:spacing w:after="0"/>
      <w:jc w:val="center"/>
      <w:pBdr>
        <w:bottom w:val="single" w:sz="12" w:space="4" w:color="1F3864"/>
      </w:pBdr>
    </w:pPr>
    <w:r>
      <w:rPr>
        <w:b w:val="0"/>
        <w:i w:val="0"/>
        <w:color w:val="404040"/>
        <w:sz w:val="17"/>
      </w:rPr>
      <w:t>CONFIDENTIAL — for the addressees named below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Memorandum</dc:title>
  <dc:subject>SYNTHETIC BENCHMARK — detection testing</dc:subject>
  <dc:creator>Finance &amp; Accounts</dc:creator>
  <cp:keywords>synthetic, benchmark, test</cp:keywords>
  <dc:description/>
  <cp:lastModifiedBy/>
  <cp:revision>1</cp:revision>
  <dcterms:created xsi:type="dcterms:W3CDTF">2013-12-23T23:15:00Z</dcterms:created>
  <dcterms:modified xsi:type="dcterms:W3CDTF">2013-12-23T23:15:00Z</dcterms:modified>
  <cp:category/>
</cp:coreProperties>
</file>