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BCAF" w14:textId="08D5D335" w:rsidR="005041D7" w:rsidRDefault="000D617E">
      <w:pPr>
        <w:spacing w:after="80"/>
      </w:pPr>
      <w:r>
        <w:rPr>
          <w:rFonts w:ascii="Segoe UI" w:hAnsi="Segoe UI"/>
          <w:b/>
          <w:color w:val="1E3A8A"/>
          <w:sz w:val="48"/>
        </w:rPr>
        <w:t xml:space="preserve">Detection of malnutrition via </w:t>
      </w:r>
      <w:r w:rsidR="00000000">
        <w:rPr>
          <w:rFonts w:ascii="Segoe UI" w:hAnsi="Segoe UI"/>
          <w:b/>
          <w:color w:val="1E3A8A"/>
          <w:sz w:val="48"/>
        </w:rPr>
        <w:t xml:space="preserve">Screening </w:t>
      </w:r>
      <w:r>
        <w:rPr>
          <w:rFonts w:ascii="Segoe UI" w:hAnsi="Segoe UI"/>
          <w:b/>
          <w:color w:val="1E3A8A"/>
          <w:sz w:val="48"/>
        </w:rPr>
        <w:t xml:space="preserve">tool </w:t>
      </w:r>
    </w:p>
    <w:p w14:paraId="53BB6EEC" w14:textId="77777777" w:rsidR="005041D7" w:rsidRDefault="00000000">
      <w:pPr>
        <w:spacing w:after="240"/>
      </w:pPr>
      <w:r>
        <w:rPr>
          <w:rFonts w:ascii="Segoe UI" w:hAnsi="Segoe UI"/>
          <w:color w:val="2563EB"/>
          <w:sz w:val="26"/>
        </w:rPr>
        <w:t>Automated Skeletal Muscle Index (SMI) Extraction via Deep Learning Pipelines</w:t>
      </w:r>
    </w:p>
    <w:p w14:paraId="589B3C8F" w14:textId="77777777" w:rsidR="005041D7" w:rsidRDefault="00000000">
      <w:pPr>
        <w:spacing w:after="480"/>
      </w:pPr>
      <w:r>
        <w:rPr>
          <w:rFonts w:ascii="Segoe UI" w:hAnsi="Segoe UI"/>
          <w:b/>
          <w:color w:val="64748B"/>
          <w:sz w:val="19"/>
        </w:rPr>
        <w:t>Technical Project Report &amp; Roadmap • Version 3.0 (Validated)</w:t>
      </w:r>
    </w:p>
    <w:p w14:paraId="566F1835" w14:textId="77777777" w:rsidR="005041D7" w:rsidRDefault="00000000">
      <w:pPr>
        <w:keepNext/>
        <w:spacing w:before="400" w:after="120"/>
      </w:pPr>
      <w:r>
        <w:rPr>
          <w:rFonts w:ascii="Segoe UI" w:hAnsi="Segoe UI"/>
          <w:b/>
          <w:color w:val="1E3A8A"/>
          <w:sz w:val="28"/>
        </w:rPr>
        <w:t>1. Introduction &amp; Project Overview</w:t>
      </w:r>
    </w:p>
    <w:p w14:paraId="7F00966C" w14:textId="77777777" w:rsidR="005041D7" w:rsidRDefault="00000000">
      <w:r>
        <w:rPr>
          <w:rFonts w:ascii="Segoe UI" w:hAnsi="Segoe UI"/>
          <w:color w:val="334155"/>
          <w:sz w:val="21"/>
        </w:rPr>
        <w:t>Pediatric malnutrition remains a significantly understated crisis within acute clinical settings, profoundly impacting children who face severe chronic illnesses such as oncological malignancies, end-stage renal disease, and complex congenital cardiac anomalies. Traditional clinical methods for assessing a child's baseline nutritional status—primarily relying on standing body weight and Body Mass Index (BMI)—are frequently confounded by complex physiological secondary effects.</w:t>
      </w:r>
    </w:p>
    <w:p w14:paraId="5497A006" w14:textId="77777777" w:rsidR="005041D7" w:rsidRDefault="00000000">
      <w:r>
        <w:rPr>
          <w:rFonts w:ascii="Segoe UI" w:hAnsi="Segoe UI"/>
          <w:color w:val="334155"/>
          <w:sz w:val="21"/>
        </w:rPr>
        <w:t>Pathological fluid accumulation (edema), massive solid tumor loads, or third-spacing can artificially inflate body mass readings. This inflation masks profound systemic muscle wasting, leaving clinical teams unaware of a child's true metabolic decline.</w:t>
      </w:r>
    </w:p>
    <w:p w14:paraId="57E2EA82" w14:textId="77777777" w:rsidR="005041D7" w:rsidRDefault="00000000">
      <w:r>
        <w:rPr>
          <w:rFonts w:ascii="Segoe UI" w:hAnsi="Segoe UI"/>
          <w:color w:val="334155"/>
          <w:sz w:val="21"/>
        </w:rPr>
        <w:t>This project presents an automated, machine learning-driven diagnostic pipeline designed to calculate a patient's true nutritional reserves using the Skeletal Muscle Index (SMI) extracted directly from computed tomography (CT) imaging datasets. By transitioning this extraction to an automated software layer, the system establishes a highly reliable opportunistic screening mechanism. It extracts vital, objective nutritional biomarkers from existing abdominal CT scans ordered for independent diagnostic or surgical workflows, successfully circumventing the need for intentional, harmful radiation exposure solely for body composition analysis.</w:t>
      </w:r>
    </w:p>
    <w:p w14:paraId="374B5F62" w14:textId="77777777" w:rsidR="005041D7" w:rsidRDefault="00000000">
      <w:pPr>
        <w:pBdr>
          <w:left w:val="single" w:sz="24" w:space="12" w:color="16A34A"/>
        </w:pBdr>
        <w:shd w:val="clear" w:color="auto" w:fill="F0FDF4"/>
        <w:spacing w:before="240" w:after="240"/>
        <w:ind w:left="576" w:right="576"/>
      </w:pPr>
      <w:r>
        <w:rPr>
          <w:rFonts w:ascii="Segoe UI" w:hAnsi="Segoe UI"/>
          <w:i/>
          <w:color w:val="14532D"/>
          <w:sz w:val="20"/>
        </w:rPr>
        <w:t>The Opportunistic Principle: Due to strict clinical radiation guidelines (ALARA — As Low As Reasonably Achievable), medical practitioners never order a CT scan strictly for nutritional metrics. This system captures "free" body composition indicators seamlessly from routine historical or emergency imaging data.</w:t>
      </w:r>
    </w:p>
    <w:p w14:paraId="61970A7E" w14:textId="77777777" w:rsidR="005041D7" w:rsidRDefault="00000000">
      <w:pPr>
        <w:keepNext/>
        <w:spacing w:before="400" w:after="120"/>
      </w:pPr>
      <w:r>
        <w:rPr>
          <w:rFonts w:ascii="Segoe UI" w:hAnsi="Segoe UI"/>
          <w:b/>
          <w:color w:val="1E3A8A"/>
          <w:sz w:val="28"/>
        </w:rPr>
        <w:t>2. Research Findings &amp; Core Concepts</w:t>
      </w:r>
    </w:p>
    <w:p w14:paraId="7A7A6015" w14:textId="77777777" w:rsidR="005041D7" w:rsidRDefault="00000000">
      <w:pPr>
        <w:keepNext/>
        <w:spacing w:before="400" w:after="120"/>
      </w:pPr>
      <w:r>
        <w:rPr>
          <w:rFonts w:ascii="Segoe UI" w:hAnsi="Segoe UI"/>
          <w:b/>
          <w:color w:val="0F172A"/>
          <w:sz w:val="23"/>
        </w:rPr>
        <w:t>2.1 Diagnostic Limitations of Superficial Metrics</w:t>
      </w:r>
    </w:p>
    <w:p w14:paraId="43C4FD70" w14:textId="77777777" w:rsidR="005041D7" w:rsidRDefault="00000000">
      <w:pPr>
        <w:pStyle w:val="ListBullet"/>
        <w:spacing w:after="80"/>
      </w:pPr>
      <w:r>
        <w:rPr>
          <w:rFonts w:ascii="Segoe UI" w:hAnsi="Segoe UI"/>
          <w:b/>
        </w:rPr>
        <w:t xml:space="preserve">The Edema &amp; Fluid Trap: </w:t>
      </w:r>
      <w:r>
        <w:rPr>
          <w:rFonts w:ascii="Segoe UI" w:hAnsi="Segoe UI"/>
        </w:rPr>
        <w:t>Pediatric patients undergoing intensive clinical interventions (such as heavy chemotherapy or steroid regimens) experience massive shifts in water retention, rendering standard BMI metrics clinically unreliable.</w:t>
      </w:r>
    </w:p>
    <w:p w14:paraId="773B9C9B" w14:textId="77777777" w:rsidR="005041D7" w:rsidRDefault="00000000">
      <w:pPr>
        <w:pStyle w:val="ListBullet"/>
      </w:pPr>
      <w:r>
        <w:rPr>
          <w:rFonts w:ascii="Segoe UI" w:hAnsi="Segoe UI"/>
          <w:b/>
        </w:rPr>
        <w:lastRenderedPageBreak/>
        <w:t xml:space="preserve">High Anthropometric Variability: </w:t>
      </w:r>
      <w:r>
        <w:rPr>
          <w:rFonts w:ascii="Segoe UI" w:hAnsi="Segoe UI"/>
        </w:rPr>
        <w:t>Traditional bedside assessments, including Mid-Upper Arm Circumference (MUAC) or skinfold calliper measurements, are inherently prone to severe inter-observer variability, limiting reliable, reproducible tracking.</w:t>
      </w:r>
    </w:p>
    <w:p w14:paraId="44F3EE3B" w14:textId="77777777" w:rsidR="005041D7" w:rsidRDefault="00000000">
      <w:pPr>
        <w:keepNext/>
        <w:spacing w:before="400" w:after="120"/>
      </w:pPr>
      <w:r>
        <w:rPr>
          <w:rFonts w:ascii="Segoe UI" w:hAnsi="Segoe UI"/>
          <w:b/>
          <w:color w:val="0F172A"/>
          <w:sz w:val="23"/>
        </w:rPr>
        <w:t>2.2 The Clinical Validity of SMI</w:t>
      </w:r>
    </w:p>
    <w:p w14:paraId="5D071417" w14:textId="77777777" w:rsidR="005041D7" w:rsidRDefault="00000000">
      <w:r>
        <w:rPr>
          <w:rFonts w:ascii="Segoe UI" w:hAnsi="Segoe UI"/>
          <w:color w:val="334155"/>
          <w:sz w:val="21"/>
        </w:rPr>
        <w:t>Skeletal muscle cross-sectional area provides a pure, direct index of the body's primary protein reserves and overall metabolic resilience. International radiology protocols have thoroughly established that the cross-sectional skeletal muscle area at the third lumbar vertebra (L3) anatomical plane scales proportionally with total functional body skeletal muscle mass. By isolating and evaluating muscle groupings strictly at this localized level, clinicians can identify true sarcopenia and severe chronic tissue depletion independent of a patient's overall weight distribution.</w:t>
      </w:r>
    </w:p>
    <w:p w14:paraId="739A9B35" w14:textId="77777777" w:rsidR="005041D7" w:rsidRDefault="00000000">
      <w:pPr>
        <w:keepNext/>
        <w:spacing w:before="400" w:after="120"/>
      </w:pPr>
      <w:r>
        <w:rPr>
          <w:rFonts w:ascii="Segoe UI" w:hAnsi="Segoe UI"/>
          <w:b/>
          <w:color w:val="1E3A8A"/>
          <w:sz w:val="28"/>
        </w:rPr>
        <w:t>3. Proposed Technical Methodology</w:t>
      </w:r>
    </w:p>
    <w:p w14:paraId="0D412CD4" w14:textId="77777777" w:rsidR="005041D7" w:rsidRDefault="00000000">
      <w:r>
        <w:rPr>
          <w:rFonts w:ascii="Segoe UI" w:hAnsi="Segoe UI"/>
          <w:color w:val="334155"/>
          <w:sz w:val="21"/>
        </w:rPr>
        <w:t>The development architecture partitions the automated inference engine into four localized execution phases to transform raw pixel arrays into a definitive pediatric diagnostic category:</w:t>
      </w:r>
    </w:p>
    <w:p w14:paraId="18617C23" w14:textId="77777777" w:rsidR="005041D7" w:rsidRDefault="00000000">
      <w:pPr>
        <w:spacing w:after="280"/>
        <w:jc w:val="center"/>
      </w:pPr>
      <w:r>
        <w:rPr>
          <w:rFonts w:ascii="Segoe UI" w:hAnsi="Segoe UI"/>
          <w:b/>
          <w:color w:val="1E3A8A"/>
          <w:sz w:val="20"/>
        </w:rPr>
        <w:t>1. 3D DICOM Volume Ingestion   ➔   2. L3 Slice &amp; HU Windowing   ➔   3. U-Net Muscle Segmentation   ➔   4. SMI &amp; Z-Score Output</w:t>
      </w:r>
    </w:p>
    <w:p w14:paraId="6EE40A40" w14:textId="77777777" w:rsidR="005041D7" w:rsidRDefault="00000000">
      <w:pPr>
        <w:keepNext/>
        <w:spacing w:before="400" w:after="120"/>
      </w:pPr>
      <w:r>
        <w:rPr>
          <w:rFonts w:ascii="Segoe UI" w:hAnsi="Segoe UI"/>
          <w:b/>
          <w:color w:val="0F172A"/>
          <w:sz w:val="23"/>
        </w:rPr>
        <w:t>Phase 1: Volumetric Preprocessing &amp; Conditioning</w:t>
      </w:r>
    </w:p>
    <w:p w14:paraId="3D6A3AA7" w14:textId="77777777" w:rsidR="005041D7" w:rsidRDefault="00000000">
      <w:r>
        <w:rPr>
          <w:rFonts w:ascii="Segoe UI" w:hAnsi="Segoe UI"/>
          <w:color w:val="334155"/>
          <w:sz w:val="21"/>
        </w:rPr>
        <w:t>Medical imaging datasets natively arrive in uncompressed, multi-slice 3D DICOM formats. The incoming volume must undergo automated axial localization to pinpoint the precise 2D frame corresponding to the L3 vertebra center. Once isolated, a strict Hounsfield Unit (HU) windowing filter is mapped across the slice pixel array. The filter isolates densities ranging strictly between -29 HU and +150 HU. This suppresses peripheral pixels corresponding to adipose layers, visceral organs, dense cortical bone structure, and ambient air, successfully isolating muscle signatures.</w:t>
      </w:r>
    </w:p>
    <w:p w14:paraId="2F58E6D2" w14:textId="77777777" w:rsidR="005041D7" w:rsidRDefault="00000000">
      <w:pPr>
        <w:keepNext/>
        <w:spacing w:before="400" w:after="120"/>
      </w:pPr>
      <w:r>
        <w:rPr>
          <w:rFonts w:ascii="Segoe UI" w:hAnsi="Segoe UI"/>
          <w:b/>
          <w:color w:val="0F172A"/>
          <w:sz w:val="23"/>
        </w:rPr>
        <w:t>Phase 2: Deep Learning Semantic Segmentation</w:t>
      </w:r>
    </w:p>
    <w:p w14:paraId="009BCB14" w14:textId="77777777" w:rsidR="005041D7" w:rsidRDefault="00000000">
      <w:r>
        <w:rPr>
          <w:rFonts w:ascii="Segoe UI" w:hAnsi="Segoe UI"/>
          <w:color w:val="334155"/>
          <w:sz w:val="21"/>
        </w:rPr>
        <w:t>The conditioned 2D slice is resized to standard dimensions (512 × 512 pixels) and ingested into a deep convolutional neural network, leveraging an optimized U-Net or DeepLabV3+ architecture. The framework acts as a semantic pixel classifier, tracking boundaries around key localized muscle architectures: the core psoas muscles, paraspinal groups (erector spinae, quadratus lumborum), and the broad structural muscle layers of the abdominal wall. Due to structural class imbalances where background spaces dwarf target regions, the network is optimized using a hybrid Dice Coefficient Loss blended with Binary Cross-Entropy (BCE).</w:t>
      </w:r>
    </w:p>
    <w:p w14:paraId="73CA67FF" w14:textId="77777777" w:rsidR="005041D7" w:rsidRDefault="00000000">
      <w:pPr>
        <w:keepNext/>
        <w:spacing w:before="400" w:after="120"/>
      </w:pPr>
      <w:r>
        <w:rPr>
          <w:rFonts w:ascii="Segoe UI" w:hAnsi="Segoe UI"/>
          <w:b/>
          <w:color w:val="0F172A"/>
          <w:sz w:val="23"/>
        </w:rPr>
        <w:lastRenderedPageBreak/>
        <w:t>Phase 3: Mathematical Indexing Calculations</w:t>
      </w:r>
    </w:p>
    <w:p w14:paraId="3704A882" w14:textId="77777777" w:rsidR="005041D7" w:rsidRDefault="00000000">
      <w:r>
        <w:rPr>
          <w:rFonts w:ascii="Segoe UI" w:hAnsi="Segoe UI"/>
          <w:color w:val="334155"/>
          <w:sz w:val="21"/>
        </w:rPr>
        <w:t>Following inference, the aggregate count of positively segmented muscle pixels must be systematically translated into an absolute physical metric. Utilizing pixel-spacing dimensional values found directly within the source DICOM metadata structure, the software computes the real-world surface space:</w:t>
      </w:r>
    </w:p>
    <w:p w14:paraId="48C166CE" w14:textId="77777777" w:rsidR="005041D7" w:rsidRDefault="00000000">
      <w:pPr>
        <w:pBdr>
          <w:top w:val="single" w:sz="4" w:space="0" w:color="E2E8F0"/>
          <w:left w:val="single" w:sz="4" w:space="0" w:color="E2E8F0"/>
          <w:bottom w:val="single" w:sz="4" w:space="0" w:color="E2E8F0"/>
          <w:right w:val="single" w:sz="4" w:space="0" w:color="E2E8F0"/>
        </w:pBdr>
        <w:shd w:val="clear" w:color="auto" w:fill="F8FAFC"/>
        <w:spacing w:before="160" w:after="160"/>
        <w:jc w:val="center"/>
      </w:pPr>
      <w:r>
        <w:rPr>
          <w:rFonts w:ascii="Times New Roman" w:hAnsi="Times New Roman"/>
          <w:b/>
          <w:i/>
          <w:color w:val="1E3A8A"/>
          <w:sz w:val="23"/>
        </w:rPr>
        <w:t>Skeletal Muscle Area (SMA, cm²) = Predicted Muscle Pixels × True Pixel Area (cm²)</w:t>
      </w:r>
    </w:p>
    <w:p w14:paraId="3E91D609" w14:textId="77777777" w:rsidR="005041D7" w:rsidRDefault="00000000">
      <w:r>
        <w:rPr>
          <w:rFonts w:ascii="Segoe UI" w:hAnsi="Segoe UI"/>
          <w:color w:val="334155"/>
          <w:sz w:val="21"/>
        </w:rPr>
        <w:t>The output is subsequently adjusted against the physical scale of the growing patient to establish the standardized index:</w:t>
      </w:r>
    </w:p>
    <w:p w14:paraId="7BCCF201" w14:textId="77777777" w:rsidR="005041D7" w:rsidRDefault="00000000">
      <w:pPr>
        <w:pBdr>
          <w:top w:val="single" w:sz="4" w:space="0" w:color="E2E8F0"/>
          <w:left w:val="single" w:sz="4" w:space="0" w:color="E2E8F0"/>
          <w:bottom w:val="single" w:sz="4" w:space="0" w:color="E2E8F0"/>
          <w:right w:val="single" w:sz="4" w:space="0" w:color="E2E8F0"/>
        </w:pBdr>
        <w:shd w:val="clear" w:color="auto" w:fill="F8FAFC"/>
        <w:spacing w:before="160" w:after="160"/>
        <w:jc w:val="center"/>
      </w:pPr>
      <w:r>
        <w:rPr>
          <w:rFonts w:ascii="Times New Roman" w:hAnsi="Times New Roman"/>
          <w:b/>
          <w:i/>
          <w:color w:val="1E3A8A"/>
          <w:sz w:val="23"/>
        </w:rPr>
        <w:t>Skeletal Muscle Index (SMI) = SMA / (Patient Height in meters)²</w:t>
      </w:r>
    </w:p>
    <w:p w14:paraId="006D0F4C" w14:textId="77777777" w:rsidR="005041D7" w:rsidRDefault="00000000">
      <w:r>
        <w:rPr>
          <w:rFonts w:ascii="Segoe UI" w:hAnsi="Segoe UI"/>
          <w:color w:val="334155"/>
          <w:sz w:val="21"/>
        </w:rPr>
        <w:t>The scientific validity of extracting muscle areas from this singular 2D cross-section is heavily justified by historical validation studies (such as Shen et al.), which verified that cross-sectional muscle volume at the L3 landmark shares a statistical correlation of up to 94% with total-body skeletal muscle mass reserves.</w:t>
      </w:r>
    </w:p>
    <w:p w14:paraId="72F07EB1" w14:textId="77777777" w:rsidR="005041D7" w:rsidRDefault="00000000">
      <w:pPr>
        <w:keepNext/>
        <w:spacing w:before="400" w:after="120"/>
      </w:pPr>
      <w:r>
        <w:rPr>
          <w:rFonts w:ascii="Segoe UI" w:hAnsi="Segoe UI"/>
          <w:b/>
          <w:color w:val="0F172A"/>
          <w:sz w:val="23"/>
        </w:rPr>
        <w:t>Phase 4: Pediatric Standardization &amp; Growth Curves</w:t>
      </w:r>
    </w:p>
    <w:p w14:paraId="0F395353" w14:textId="77777777" w:rsidR="005041D7" w:rsidRDefault="00000000">
      <w:r>
        <w:rPr>
          <w:rFonts w:ascii="Segoe UI" w:hAnsi="Segoe UI"/>
          <w:color w:val="334155"/>
          <w:sz w:val="21"/>
        </w:rPr>
        <w:t>Adult diagnostic layers rely heavily on absolute, rigid SMI thresholds to dictate care. For evolving pediatric cohorts, these static values are invalid due to rapid age-dependent growth cycles. To deliver valid diagnostic tracking, the calculated SMI must be calibrated directly against age- and sex-stratified normative pediatric populations, outputting a precise statistical standard deviation (Z-score).</w:t>
      </w:r>
    </w:p>
    <w:p w14:paraId="253E624F" w14:textId="77777777" w:rsidR="005041D7" w:rsidRDefault="00000000">
      <w:r>
        <w:rPr>
          <w:rFonts w:ascii="Segoe UI" w:hAnsi="Segoe UI"/>
          <w:color w:val="334155"/>
          <w:sz w:val="21"/>
        </w:rPr>
        <w:t>This mapping relies on baseline statistical metrics extracted from deep learning pediatric growth database initiatives (such as the landmark 2022 multi-cohort reference study published in the American Journal of Roentgenology).</w:t>
      </w:r>
    </w:p>
    <w:tbl>
      <w:tblPr>
        <w:tblW w:w="0" w:type="auto"/>
        <w:jc w:val="center"/>
        <w:tblLook w:val="04A0" w:firstRow="1" w:lastRow="0" w:firstColumn="1" w:lastColumn="0" w:noHBand="0" w:noVBand="1"/>
      </w:tblPr>
      <w:tblGrid>
        <w:gridCol w:w="3312"/>
        <w:gridCol w:w="3312"/>
        <w:gridCol w:w="3312"/>
      </w:tblGrid>
      <w:tr w:rsidR="005041D7" w14:paraId="035FDBC0" w14:textId="77777777">
        <w:trPr>
          <w:jc w:val="center"/>
        </w:trPr>
        <w:tc>
          <w:tcPr>
            <w:tcW w:w="3312" w:type="dxa"/>
            <w:shd w:val="clear" w:color="auto" w:fill="1E3A8A"/>
            <w:tcMar>
              <w:top w:w="140" w:type="dxa"/>
              <w:left w:w="140" w:type="dxa"/>
              <w:bottom w:w="140" w:type="dxa"/>
              <w:right w:w="140" w:type="dxa"/>
            </w:tcMar>
          </w:tcPr>
          <w:p w14:paraId="654E2B4B" w14:textId="77777777" w:rsidR="005041D7" w:rsidRDefault="00000000">
            <w:r>
              <w:rPr>
                <w:rFonts w:ascii="Segoe UI" w:hAnsi="Segoe UI"/>
                <w:b/>
                <w:color w:val="FFFFFF"/>
                <w:sz w:val="19"/>
              </w:rPr>
              <w:t>Statistical Deviation (Z-Score Range)</w:t>
            </w:r>
          </w:p>
        </w:tc>
        <w:tc>
          <w:tcPr>
            <w:tcW w:w="3312" w:type="dxa"/>
            <w:shd w:val="clear" w:color="auto" w:fill="1E3A8A"/>
            <w:tcMar>
              <w:top w:w="140" w:type="dxa"/>
              <w:left w:w="140" w:type="dxa"/>
              <w:bottom w:w="140" w:type="dxa"/>
              <w:right w:w="140" w:type="dxa"/>
            </w:tcMar>
          </w:tcPr>
          <w:p w14:paraId="02DFB7BD" w14:textId="77777777" w:rsidR="005041D7" w:rsidRDefault="00000000">
            <w:r>
              <w:rPr>
                <w:rFonts w:ascii="Segoe UI" w:hAnsi="Segoe UI"/>
                <w:b/>
                <w:color w:val="FFFFFF"/>
                <w:sz w:val="19"/>
              </w:rPr>
              <w:t>Clinical Classification</w:t>
            </w:r>
          </w:p>
        </w:tc>
        <w:tc>
          <w:tcPr>
            <w:tcW w:w="3312" w:type="dxa"/>
            <w:shd w:val="clear" w:color="auto" w:fill="1E3A8A"/>
            <w:tcMar>
              <w:top w:w="140" w:type="dxa"/>
              <w:left w:w="140" w:type="dxa"/>
              <w:bottom w:w="140" w:type="dxa"/>
              <w:right w:w="140" w:type="dxa"/>
            </w:tcMar>
          </w:tcPr>
          <w:p w14:paraId="5B9878D1" w14:textId="77777777" w:rsidR="005041D7" w:rsidRDefault="00000000">
            <w:r>
              <w:rPr>
                <w:rFonts w:ascii="Segoe UI" w:hAnsi="Segoe UI"/>
                <w:b/>
                <w:color w:val="FFFFFF"/>
                <w:sz w:val="19"/>
              </w:rPr>
              <w:t>Standard Clinical Action Recommended</w:t>
            </w:r>
          </w:p>
        </w:tc>
      </w:tr>
      <w:tr w:rsidR="005041D7" w14:paraId="6158621D" w14:textId="77777777">
        <w:trPr>
          <w:jc w:val="center"/>
        </w:trPr>
        <w:tc>
          <w:tcPr>
            <w:tcW w:w="3312" w:type="dxa"/>
            <w:shd w:val="clear" w:color="auto" w:fill="FFFFFF"/>
            <w:tcMar>
              <w:top w:w="120" w:type="dxa"/>
              <w:left w:w="140" w:type="dxa"/>
              <w:bottom w:w="120" w:type="dxa"/>
              <w:right w:w="140" w:type="dxa"/>
            </w:tcMar>
          </w:tcPr>
          <w:p w14:paraId="0F7DF57F" w14:textId="77777777" w:rsidR="005041D7" w:rsidRDefault="00000000">
            <w:r>
              <w:rPr>
                <w:rFonts w:ascii="Segoe UI" w:hAnsi="Segoe UI"/>
                <w:color w:val="334155"/>
                <w:sz w:val="19"/>
              </w:rPr>
              <w:t>Z &gt; -1.0</w:t>
            </w:r>
          </w:p>
        </w:tc>
        <w:tc>
          <w:tcPr>
            <w:tcW w:w="3312" w:type="dxa"/>
            <w:shd w:val="clear" w:color="auto" w:fill="FFFFFF"/>
            <w:tcMar>
              <w:top w:w="120" w:type="dxa"/>
              <w:left w:w="140" w:type="dxa"/>
              <w:bottom w:w="120" w:type="dxa"/>
              <w:right w:w="140" w:type="dxa"/>
            </w:tcMar>
          </w:tcPr>
          <w:p w14:paraId="6E3FCB12" w14:textId="77777777" w:rsidR="005041D7" w:rsidRDefault="00000000">
            <w:r>
              <w:rPr>
                <w:rFonts w:ascii="Segoe UI" w:hAnsi="Segoe UI"/>
                <w:b/>
                <w:color w:val="15803D"/>
                <w:sz w:val="19"/>
              </w:rPr>
              <w:t>Normal Muscle Status</w:t>
            </w:r>
          </w:p>
        </w:tc>
        <w:tc>
          <w:tcPr>
            <w:tcW w:w="3312" w:type="dxa"/>
            <w:shd w:val="clear" w:color="auto" w:fill="FFFFFF"/>
            <w:tcMar>
              <w:top w:w="120" w:type="dxa"/>
              <w:left w:w="140" w:type="dxa"/>
              <w:bottom w:w="120" w:type="dxa"/>
              <w:right w:w="140" w:type="dxa"/>
            </w:tcMar>
          </w:tcPr>
          <w:p w14:paraId="205E6BC0" w14:textId="77777777" w:rsidR="005041D7" w:rsidRDefault="00000000">
            <w:r>
              <w:rPr>
                <w:rFonts w:ascii="Segoe UI" w:hAnsi="Segoe UI"/>
                <w:color w:val="334155"/>
                <w:sz w:val="19"/>
              </w:rPr>
              <w:t>Routine clinical observation and standard nutritional monitoring.</w:t>
            </w:r>
          </w:p>
        </w:tc>
      </w:tr>
      <w:tr w:rsidR="005041D7" w14:paraId="2422B8C2" w14:textId="77777777">
        <w:trPr>
          <w:jc w:val="center"/>
        </w:trPr>
        <w:tc>
          <w:tcPr>
            <w:tcW w:w="3312" w:type="dxa"/>
            <w:shd w:val="clear" w:color="auto" w:fill="F8FAFC"/>
            <w:tcMar>
              <w:top w:w="120" w:type="dxa"/>
              <w:left w:w="140" w:type="dxa"/>
              <w:bottom w:w="120" w:type="dxa"/>
              <w:right w:w="140" w:type="dxa"/>
            </w:tcMar>
          </w:tcPr>
          <w:p w14:paraId="16B8E9AD" w14:textId="77777777" w:rsidR="005041D7" w:rsidRDefault="00000000">
            <w:r>
              <w:rPr>
                <w:rFonts w:ascii="Segoe UI" w:hAnsi="Segoe UI"/>
                <w:color w:val="334155"/>
                <w:sz w:val="19"/>
              </w:rPr>
              <w:t>-2.0 &lt; Z ≤ -1.0</w:t>
            </w:r>
          </w:p>
        </w:tc>
        <w:tc>
          <w:tcPr>
            <w:tcW w:w="3312" w:type="dxa"/>
            <w:shd w:val="clear" w:color="auto" w:fill="F8FAFC"/>
            <w:tcMar>
              <w:top w:w="120" w:type="dxa"/>
              <w:left w:w="140" w:type="dxa"/>
              <w:bottom w:w="120" w:type="dxa"/>
              <w:right w:w="140" w:type="dxa"/>
            </w:tcMar>
          </w:tcPr>
          <w:p w14:paraId="4EE93DFB" w14:textId="77777777" w:rsidR="005041D7" w:rsidRDefault="00000000">
            <w:r>
              <w:rPr>
                <w:rFonts w:ascii="Segoe UI" w:hAnsi="Segoe UI"/>
                <w:b/>
                <w:color w:val="A16207"/>
                <w:sz w:val="19"/>
              </w:rPr>
              <w:t>Mild / Moderate Wasting</w:t>
            </w:r>
          </w:p>
        </w:tc>
        <w:tc>
          <w:tcPr>
            <w:tcW w:w="3312" w:type="dxa"/>
            <w:shd w:val="clear" w:color="auto" w:fill="F8FAFC"/>
            <w:tcMar>
              <w:top w:w="120" w:type="dxa"/>
              <w:left w:w="140" w:type="dxa"/>
              <w:bottom w:w="120" w:type="dxa"/>
              <w:right w:w="140" w:type="dxa"/>
            </w:tcMar>
          </w:tcPr>
          <w:p w14:paraId="64FB9F7F" w14:textId="77777777" w:rsidR="005041D7" w:rsidRDefault="00000000">
            <w:r>
              <w:rPr>
                <w:rFonts w:ascii="Segoe UI" w:hAnsi="Segoe UI"/>
                <w:color w:val="334155"/>
                <w:sz w:val="19"/>
              </w:rPr>
              <w:t>Targeted oral nutritional supplementation and macro-nutrient tracking.</w:t>
            </w:r>
          </w:p>
        </w:tc>
      </w:tr>
      <w:tr w:rsidR="005041D7" w14:paraId="731BAE36" w14:textId="77777777">
        <w:trPr>
          <w:jc w:val="center"/>
        </w:trPr>
        <w:tc>
          <w:tcPr>
            <w:tcW w:w="3312" w:type="dxa"/>
            <w:shd w:val="clear" w:color="auto" w:fill="FFFFFF"/>
            <w:tcMar>
              <w:top w:w="120" w:type="dxa"/>
              <w:left w:w="140" w:type="dxa"/>
              <w:bottom w:w="120" w:type="dxa"/>
              <w:right w:w="140" w:type="dxa"/>
            </w:tcMar>
          </w:tcPr>
          <w:p w14:paraId="6316BA59" w14:textId="77777777" w:rsidR="005041D7" w:rsidRDefault="00000000">
            <w:r>
              <w:rPr>
                <w:rFonts w:ascii="Segoe UI" w:hAnsi="Segoe UI"/>
                <w:color w:val="334155"/>
                <w:sz w:val="19"/>
              </w:rPr>
              <w:t>Z ≤ -2.0</w:t>
            </w:r>
          </w:p>
        </w:tc>
        <w:tc>
          <w:tcPr>
            <w:tcW w:w="3312" w:type="dxa"/>
            <w:shd w:val="clear" w:color="auto" w:fill="FFFFFF"/>
            <w:tcMar>
              <w:top w:w="120" w:type="dxa"/>
              <w:left w:w="140" w:type="dxa"/>
              <w:bottom w:w="120" w:type="dxa"/>
              <w:right w:w="140" w:type="dxa"/>
            </w:tcMar>
          </w:tcPr>
          <w:p w14:paraId="79F7DA4B" w14:textId="77777777" w:rsidR="005041D7" w:rsidRDefault="00000000">
            <w:r>
              <w:rPr>
                <w:rFonts w:ascii="Segoe UI" w:hAnsi="Segoe UI"/>
                <w:b/>
                <w:color w:val="B91C1C"/>
                <w:sz w:val="19"/>
              </w:rPr>
              <w:t>Severe Malnutrition</w:t>
            </w:r>
          </w:p>
        </w:tc>
        <w:tc>
          <w:tcPr>
            <w:tcW w:w="3312" w:type="dxa"/>
            <w:shd w:val="clear" w:color="auto" w:fill="FFFFFF"/>
            <w:tcMar>
              <w:top w:w="120" w:type="dxa"/>
              <w:left w:w="140" w:type="dxa"/>
              <w:bottom w:w="120" w:type="dxa"/>
              <w:right w:w="140" w:type="dxa"/>
            </w:tcMar>
          </w:tcPr>
          <w:p w14:paraId="347E7A04" w14:textId="77777777" w:rsidR="005041D7" w:rsidRDefault="00000000">
            <w:r>
              <w:rPr>
                <w:rFonts w:ascii="Segoe UI" w:hAnsi="Segoe UI"/>
                <w:color w:val="334155"/>
                <w:sz w:val="19"/>
              </w:rPr>
              <w:t>Aggressive clinical intervention, metabolic care plan, and ongoing monitoring.</w:t>
            </w:r>
          </w:p>
        </w:tc>
      </w:tr>
    </w:tbl>
    <w:p w14:paraId="07F747C1" w14:textId="77777777" w:rsidR="005041D7" w:rsidRDefault="005041D7">
      <w:pPr>
        <w:spacing w:after="240"/>
      </w:pPr>
    </w:p>
    <w:p w14:paraId="34886D96" w14:textId="77777777" w:rsidR="005041D7" w:rsidRDefault="00000000">
      <w:pPr>
        <w:keepNext/>
        <w:spacing w:before="400" w:after="120"/>
      </w:pPr>
      <w:r>
        <w:rPr>
          <w:rFonts w:ascii="Segoe UI" w:hAnsi="Segoe UI"/>
          <w:b/>
          <w:color w:val="1E3A8A"/>
          <w:sz w:val="28"/>
        </w:rPr>
        <w:lastRenderedPageBreak/>
        <w:t>4. Future Scope &amp; Execution Roadmap</w:t>
      </w:r>
    </w:p>
    <w:p w14:paraId="70E0EF5A" w14:textId="77777777" w:rsidR="005041D7" w:rsidRDefault="00000000">
      <w:pPr>
        <w:pStyle w:val="ListNumber"/>
        <w:spacing w:after="120"/>
      </w:pPr>
      <w:r>
        <w:rPr>
          <w:rFonts w:ascii="Segoe UI" w:hAnsi="Segoe UI"/>
          <w:b/>
          <w:color w:val="0F172A"/>
        </w:rPr>
        <w:t xml:space="preserve">1. Dataset Acquisition &amp; Ethical Compliance: </w:t>
      </w:r>
      <w:r>
        <w:rPr>
          <w:rFonts w:ascii="Segoe UI" w:hAnsi="Segoe UI"/>
          <w:color w:val="334155"/>
        </w:rPr>
        <w:t>Securing access to completely anonymized, de-identified public pediatric repositories, such as The Cancer Imaging Archive (TCIA) and internal research slice sets.</w:t>
      </w:r>
    </w:p>
    <w:p w14:paraId="004B4410" w14:textId="77777777" w:rsidR="005041D7" w:rsidRDefault="00000000">
      <w:pPr>
        <w:pStyle w:val="ListNumber"/>
        <w:spacing w:after="120"/>
      </w:pPr>
      <w:r>
        <w:rPr>
          <w:rFonts w:ascii="Segoe UI" w:hAnsi="Segoe UI"/>
          <w:b/>
          <w:color w:val="0F172A"/>
        </w:rPr>
        <w:t xml:space="preserve">2. Model Optimization &amp; Cross-Validation: </w:t>
      </w:r>
      <w:r>
        <w:rPr>
          <w:rFonts w:ascii="Segoe UI" w:hAnsi="Segoe UI"/>
          <w:color w:val="334155"/>
        </w:rPr>
        <w:t>Iteratively training the segmentation models, executing broad fold validations, and fine-tuning layer hyperparameters to ensure strong generalization performance across multiple vendor scanner formats.</w:t>
      </w:r>
    </w:p>
    <w:p w14:paraId="627ED0BC" w14:textId="77777777" w:rsidR="005041D7" w:rsidRDefault="00000000">
      <w:pPr>
        <w:pStyle w:val="ListNumber"/>
        <w:spacing w:after="120"/>
      </w:pPr>
      <w:r>
        <w:rPr>
          <w:rFonts w:ascii="Segoe UI" w:hAnsi="Segoe UI"/>
          <w:b/>
          <w:color w:val="0F172A"/>
        </w:rPr>
        <w:t xml:space="preserve">3. Integration of Reference Data Tables: </w:t>
      </w:r>
      <w:r>
        <w:rPr>
          <w:rFonts w:ascii="Segoe UI" w:hAnsi="Segoe UI"/>
          <w:color w:val="334155"/>
        </w:rPr>
        <w:t>Programming continuous lookup arrays mapped to CDC/WHO-aligned child body development indices to automate fast, accurate Z-score mapping.</w:t>
      </w:r>
    </w:p>
    <w:p w14:paraId="361A9B9C" w14:textId="77777777" w:rsidR="005041D7" w:rsidRDefault="00000000">
      <w:pPr>
        <w:pStyle w:val="ListNumber"/>
        <w:spacing w:after="120"/>
      </w:pPr>
      <w:r>
        <w:rPr>
          <w:rFonts w:ascii="Segoe UI" w:hAnsi="Segoe UI"/>
          <w:b/>
          <w:color w:val="0F172A"/>
        </w:rPr>
        <w:t xml:space="preserve">4. Deployment of Minimal Clinical UI: </w:t>
      </w:r>
      <w:r>
        <w:rPr>
          <w:rFonts w:ascii="Segoe UI" w:hAnsi="Segoe UI"/>
          <w:color w:val="334155"/>
        </w:rPr>
        <w:t>Designing a minimal, sandboxed desktop interface or browser app where clinicians can instantly drop DICOM series to receive automated overlay masks, SMI data, and rapid alerts.</w:t>
      </w:r>
    </w:p>
    <w:p w14:paraId="35D07355" w14:textId="77777777" w:rsidR="005041D7" w:rsidRDefault="00000000">
      <w:pPr>
        <w:keepNext/>
        <w:spacing w:before="400" w:after="120"/>
      </w:pPr>
      <w:r>
        <w:rPr>
          <w:rFonts w:ascii="Segoe UI" w:hAnsi="Segoe UI"/>
          <w:b/>
          <w:color w:val="1E3A8A"/>
          <w:sz w:val="28"/>
        </w:rPr>
        <w:t>5. Clinical Validation &amp; Literature References</w:t>
      </w:r>
    </w:p>
    <w:p w14:paraId="18E55E8B" w14:textId="77777777" w:rsidR="005041D7" w:rsidRDefault="00000000">
      <w:r>
        <w:rPr>
          <w:rFonts w:ascii="Segoe UI" w:hAnsi="Segoe UI"/>
          <w:color w:val="334155"/>
          <w:sz w:val="21"/>
        </w:rPr>
        <w:t>The clinical formulas, anatomical boundaries, and standardized scoring distributions applied within this automated pipeline are directly validated by the following peer-reviewed medical literature:</w:t>
      </w:r>
    </w:p>
    <w:p w14:paraId="3268CC18" w14:textId="77777777" w:rsidR="005041D7" w:rsidRDefault="00000000">
      <w:pPr>
        <w:ind w:left="288"/>
      </w:pPr>
      <w:r>
        <w:rPr>
          <w:rFonts w:ascii="Segoe UI" w:hAnsi="Segoe UI"/>
          <w:b/>
        </w:rPr>
        <w:t>[1] L3 Landmark and Total-Body Muscle Correlation Baseline:</w:t>
      </w:r>
      <w:r>
        <w:rPr>
          <w:rFonts w:ascii="Segoe UI" w:hAnsi="Segoe UI"/>
          <w:b/>
        </w:rPr>
        <w:br/>
      </w:r>
      <w:r>
        <w:rPr>
          <w:rFonts w:ascii="Segoe UI" w:hAnsi="Segoe UI"/>
          <w:sz w:val="19"/>
        </w:rPr>
        <w:t>Shen, W., Punyanitya, M., Wang, Z., et al. (2004). Total body skeletal muscle and adipose tissue volumes: estimation from a single abdominal cross-sectional image. Journal of Applied Physiology, 97(6), 2333-2338.</w:t>
      </w:r>
      <w:r>
        <w:rPr>
          <w:rFonts w:ascii="Segoe UI" w:hAnsi="Segoe UI"/>
          <w:sz w:val="19"/>
        </w:rPr>
        <w:br/>
        <w:t>URL: https://www.semanticscholar.org/paper/Total-body-skeletal-muscle-and-adipose-tissue-from-Shen-Punyanitya/4f272fe0344d67893de0be51fbfb75055dea288e</w:t>
      </w:r>
    </w:p>
    <w:p w14:paraId="796A8723" w14:textId="77777777" w:rsidR="005041D7" w:rsidRDefault="00000000">
      <w:pPr>
        <w:spacing w:after="280"/>
        <w:ind w:left="288"/>
      </w:pPr>
      <w:r>
        <w:rPr>
          <w:rFonts w:ascii="Segoe UI" w:hAnsi="Segoe UI"/>
          <w:b/>
        </w:rPr>
        <w:t>[2] Pediatric SMI Normative Reference Populations &amp; Z-Scores:</w:t>
      </w:r>
      <w:r>
        <w:rPr>
          <w:rFonts w:ascii="Segoe UI" w:hAnsi="Segoe UI"/>
          <w:b/>
        </w:rPr>
        <w:br/>
      </w:r>
      <w:r>
        <w:rPr>
          <w:rFonts w:ascii="Segoe UI" w:hAnsi="Segoe UI"/>
          <w:sz w:val="19"/>
        </w:rPr>
        <w:t>American Journal of Roentgenology (AJR). (2022). Defining Normal Ranges of Skeletal Muscle Area and Skeletal Muscle Index in Children on CT Using an Automated Deep Learning Pipeline: Implications for Sarcopenia Diagnosis. AJR; 219(2).</w:t>
      </w:r>
      <w:r>
        <w:rPr>
          <w:rFonts w:ascii="Segoe UI" w:hAnsi="Segoe UI"/>
          <w:sz w:val="19"/>
        </w:rPr>
        <w:br/>
        <w:t>URL: https://www.ajronline.org/doi/abs/10.2214/AJR.21.27239</w:t>
      </w:r>
    </w:p>
    <w:p w14:paraId="06CF426E" w14:textId="77777777" w:rsidR="005041D7" w:rsidRDefault="00000000">
      <w:pPr>
        <w:keepNext/>
        <w:spacing w:before="400" w:after="120"/>
      </w:pPr>
      <w:r>
        <w:rPr>
          <w:rFonts w:ascii="Segoe UI" w:hAnsi="Segoe UI"/>
          <w:b/>
          <w:color w:val="1E3A8A"/>
          <w:sz w:val="28"/>
        </w:rPr>
        <w:t>6. Conclusion</w:t>
      </w:r>
    </w:p>
    <w:p w14:paraId="58341B0D" w14:textId="77777777" w:rsidR="005041D7" w:rsidRDefault="00000000">
      <w:r>
        <w:rPr>
          <w:rFonts w:ascii="Segoe UI" w:hAnsi="Segoe UI"/>
          <w:color w:val="334155"/>
          <w:sz w:val="21"/>
        </w:rPr>
        <w:t>This project directly connects complex deep learning image processing with critical clinical utility. By translating unutilized pixel data into actionable, highly structured clinical biomarkers (the pediatric SMI Z-score), this pipeline aims to empower pediatric teams to catch severe metabolic malnutrition weeks ahead of traditional weight charts—dramatically optimizing intervention paths and helping improve patient outcomes.</w:t>
      </w:r>
    </w:p>
    <w:sectPr w:rsidR="005041D7"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726355">
    <w:abstractNumId w:val="8"/>
  </w:num>
  <w:num w:numId="2" w16cid:durableId="1682582169">
    <w:abstractNumId w:val="6"/>
  </w:num>
  <w:num w:numId="3" w16cid:durableId="1742632912">
    <w:abstractNumId w:val="5"/>
  </w:num>
  <w:num w:numId="4" w16cid:durableId="839277299">
    <w:abstractNumId w:val="4"/>
  </w:num>
  <w:num w:numId="5" w16cid:durableId="1697920473">
    <w:abstractNumId w:val="7"/>
  </w:num>
  <w:num w:numId="6" w16cid:durableId="318969183">
    <w:abstractNumId w:val="3"/>
  </w:num>
  <w:num w:numId="7" w16cid:durableId="1685591277">
    <w:abstractNumId w:val="2"/>
  </w:num>
  <w:num w:numId="8" w16cid:durableId="1074812407">
    <w:abstractNumId w:val="1"/>
  </w:num>
  <w:num w:numId="9" w16cid:durableId="73396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17E"/>
    <w:rsid w:val="0015074B"/>
    <w:rsid w:val="0029639D"/>
    <w:rsid w:val="00326F90"/>
    <w:rsid w:val="005041D7"/>
    <w:rsid w:val="008241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4AC4B"/>
  <w14:defaultImageDpi w14:val="300"/>
  <w15:docId w15:val="{8218A962-F1C8-4153-877B-D06F2A64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1364</Words>
  <Characters>7778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srushti s</cp:lastModifiedBy>
  <cp:revision>2</cp:revision>
  <dcterms:created xsi:type="dcterms:W3CDTF">2013-12-23T23:15:00Z</dcterms:created>
  <dcterms:modified xsi:type="dcterms:W3CDTF">2026-06-06T13:11:00Z</dcterms:modified>
  <cp:category/>
</cp:coreProperties>
</file>