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065F46"/>
          <w:sz w:val="52"/>
        </w:rPr>
        <w:t>CarbonLens Platform</w:t>
      </w:r>
    </w:p>
    <w:p>
      <w:pPr>
        <w:spacing w:after="480"/>
        <w:jc w:val="center"/>
      </w:pPr>
      <w:r>
        <w:rPr>
          <w:i/>
          <w:color w:val="64748B"/>
          <w:sz w:val="28"/>
        </w:rPr>
        <w:t>Comprehensive Technical Documentation &amp; Implementation Spec</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59669"/>
              <w:top w:val="none"/>
              <w:bottom w:val="none"/>
              <w:right w:val="none"/>
            </w:tcBorders>
          </w:tcPr>
          <w:p>
            <w:pPr>
              <w:spacing w:before="0" w:after="80"/>
            </w:pPr>
            <w:r>
              <w:rPr>
                <w:rFonts w:ascii="Arial" w:hAnsi="Arial"/>
                <w:b/>
                <w:color w:val="065F46"/>
                <w:sz w:val="22"/>
              </w:rPr>
              <w:t>🌐 LIVE DEPLOYMENT TARGET</w:t>
              <w:br/>
            </w:r>
            <w:r>
              <w:rPr>
                <w:rFonts w:ascii="Arial" w:hAnsi="Arial"/>
                <w:i/>
                <w:color w:val="334155"/>
                <w:sz w:val="21"/>
              </w:rPr>
              <w:t>Live Production Deployment Environment available at: https://carbonfootprintapp.netlify.app/</w:t>
            </w:r>
          </w:p>
        </w:tc>
      </w:tr>
    </w:tbl>
    <w:p>
      <w:pPr>
        <w:spacing w:after="240"/>
      </w:pPr>
    </w:p>
    <w:p>
      <w:pPr>
        <w:pStyle w:val="Heading1"/>
        <w:spacing w:before="360" w:after="120"/>
      </w:pPr>
      <w:r>
        <w:rPr>
          <w:b/>
          <w:color w:val="065F46"/>
          <w:sz w:val="32"/>
        </w:rPr>
        <w:t>1. Executive Summary &amp; Chosen Vertical</w:t>
      </w:r>
    </w:p>
    <w:p>
      <w:r>
        <w:t>CarbonLens is a premium, data-driven sustainability application operating at the intersection of Climate Informatics and Progressive Gamification Design. The primary objective of the platform is to address the widespread psychological friction associated with tracking personal carbon footprints. By transforming cold numerical statistics into responsive, visual environmental simulations, CarbonLens bridges the gap between passive environmental awareness and proactive daily habit modification.</w:t>
      </w:r>
    </w:p>
    <w:p>
      <w:r>
        <w:rPr>
          <w:b/>
        </w:rPr>
        <w:t xml:space="preserve">Chosen Vertical: </w:t>
      </w:r>
      <w:r>
        <w:t>Sustainability Engineering, Eco-Tech, and Clean Digital Innovation. The application targets localized consumer lifestyle actions across transport, utility usage, dietary regimes, and waste streams, normalizing abstract global metrics into digestible metrics coupled with personalized behavioral feedback architectures.</w:t>
      </w:r>
    </w:p>
    <w:p>
      <w:pPr>
        <w:pStyle w:val="Heading1"/>
        <w:spacing w:before="360" w:after="120"/>
      </w:pPr>
      <w:r>
        <w:rPr>
          <w:b/>
          <w:color w:val="065F46"/>
          <w:sz w:val="32"/>
        </w:rPr>
        <w:t>2. Mathematical Framework &amp; Calculation Logic</w:t>
      </w:r>
    </w:p>
    <w:p>
      <w:r>
        <w:t>The primary architectural engine utilizes conversion coefficients derived directly from carbon accounting compliance standards published by the Environmental Protection Agency (EPA) in the United States and the Department for Environment, Food &amp; Rural Affairs (DEFRA) in the United Kingdom. This ensures all tracking math represents validated real-world impact scores.</w:t>
      </w:r>
    </w:p>
    <w:p>
      <w:r>
        <w:t>The cumulative carbon load model compiles discrete lifestyle telemetry into a single unified carbon dioxide equivalent metric, mathematically represented below:</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59669"/>
              <w:top w:val="none"/>
              <w:bottom w:val="none"/>
              <w:right w:val="none"/>
            </w:tcBorders>
          </w:tcPr>
          <w:p>
            <w:pPr>
              <w:spacing w:before="0" w:after="80"/>
            </w:pPr>
            <w:r>
              <w:rPr>
                <w:rFonts w:ascii="Arial" w:hAnsi="Arial"/>
                <w:b/>
                <w:color w:val="065F46"/>
                <w:sz w:val="22"/>
              </w:rPr>
              <w:t>🧮 SYSTEM ACCUMULATION ALGORITHM</w:t>
              <w:br/>
            </w:r>
            <w:r>
              <w:rPr>
                <w:rFonts w:ascii="Arial" w:hAnsi="Arial"/>
                <w:i/>
                <w:color w:val="334155"/>
                <w:sz w:val="21"/>
              </w:rPr>
              <w:t>Total Net Carbon Footprint (E_net) = (E_transport + E_aviation + E_energy + E_diet + E_waste) - C_mitigation</w:t>
            </w:r>
          </w:p>
        </w:tc>
      </w:tr>
    </w:tbl>
    <w:p>
      <w:r>
        <w:t>To guarantee structural accuracy across multiple target geographical user demographics, the context system dynamically provisions the entire math coefficient parsing layer during initial onboarding based on the user's localized zone parameter selections: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65F46"/>
            <w:tcMar>
              <w:top w:w="120" w:type="dxa"/>
              <w:bottom w:w="120" w:type="dxa"/>
              <w:left w:w="150" w:type="dxa"/>
              <w:right w:w="150" w:type="dxa"/>
            </w:tcMar>
          </w:tcPr>
          <w:p>
            <w:r>
              <w:rPr>
                <w:b/>
                <w:color w:val="FFFFFF"/>
                <w:sz w:val="20"/>
              </w:rPr>
              <w:t>Emission Sector</w:t>
            </w:r>
          </w:p>
        </w:tc>
        <w:tc>
          <w:tcPr>
            <w:tcW w:type="dxa" w:w="1872"/>
            <w:shd w:fill="065F46"/>
            <w:tcMar>
              <w:top w:w="120" w:type="dxa"/>
              <w:bottom w:w="120" w:type="dxa"/>
              <w:left w:w="150" w:type="dxa"/>
              <w:right w:w="150" w:type="dxa"/>
            </w:tcMar>
          </w:tcPr>
          <w:p>
            <w:r>
              <w:rPr>
                <w:b/>
                <w:color w:val="FFFFFF"/>
                <w:sz w:val="20"/>
              </w:rPr>
              <w:t>Variable Base Unit</w:t>
            </w:r>
          </w:p>
        </w:tc>
        <w:tc>
          <w:tcPr>
            <w:tcW w:type="dxa" w:w="1872"/>
            <w:shd w:fill="065F46"/>
            <w:tcMar>
              <w:top w:w="120" w:type="dxa"/>
              <w:bottom w:w="120" w:type="dxa"/>
              <w:left w:w="150" w:type="dxa"/>
              <w:right w:w="150" w:type="dxa"/>
            </w:tcMar>
          </w:tcPr>
          <w:p>
            <w:r>
              <w:rPr>
                <w:b/>
                <w:color w:val="FFFFFF"/>
                <w:sz w:val="20"/>
              </w:rPr>
              <w:t>United States (EPA)</w:t>
            </w:r>
          </w:p>
        </w:tc>
        <w:tc>
          <w:tcPr>
            <w:tcW w:type="dxa" w:w="1872"/>
            <w:shd w:fill="065F46"/>
            <w:tcMar>
              <w:top w:w="120" w:type="dxa"/>
              <w:bottom w:w="120" w:type="dxa"/>
              <w:left w:w="150" w:type="dxa"/>
              <w:right w:w="150" w:type="dxa"/>
            </w:tcMar>
          </w:tcPr>
          <w:p>
            <w:r>
              <w:rPr>
                <w:b/>
                <w:color w:val="FFFFFF"/>
                <w:sz w:val="20"/>
              </w:rPr>
              <w:t>India (Regional)</w:t>
            </w:r>
          </w:p>
        </w:tc>
        <w:tc>
          <w:tcPr>
            <w:tcW w:type="dxa" w:w="1872"/>
            <w:shd w:fill="065F46"/>
            <w:tcMar>
              <w:top w:w="120" w:type="dxa"/>
              <w:bottom w:w="120" w:type="dxa"/>
              <w:left w:w="150" w:type="dxa"/>
              <w:right w:w="150" w:type="dxa"/>
            </w:tcMar>
          </w:tcPr>
          <w:p>
            <w:r>
              <w:rPr>
                <w:b/>
                <w:color w:val="FFFFFF"/>
                <w:sz w:val="20"/>
              </w:rPr>
              <w:t>UK &amp; Europe (DEFRA)</w:t>
            </w:r>
          </w:p>
        </w:tc>
      </w:tr>
      <w:tr>
        <w:tc>
          <w:tcPr>
            <w:tcW w:type="dxa" w:w="1872"/>
            <w:shd w:fill="F9FAFB"/>
            <w:tcMar>
              <w:top w:w="100" w:type="dxa"/>
              <w:bottom w:w="100" w:type="dxa"/>
              <w:left w:w="120" w:type="dxa"/>
              <w:right w:w="120" w:type="dxa"/>
            </w:tcMar>
          </w:tcPr>
          <w:p>
            <w:r>
              <w:rPr>
                <w:sz w:val="19"/>
              </w:rPr>
              <w:t>Grid Electricity</w:t>
            </w:r>
          </w:p>
        </w:tc>
        <w:tc>
          <w:tcPr>
            <w:tcW w:type="dxa" w:w="1872"/>
            <w:shd w:fill="F9FAFB"/>
            <w:tcMar>
              <w:top w:w="100" w:type="dxa"/>
              <w:bottom w:w="100" w:type="dxa"/>
              <w:left w:w="120" w:type="dxa"/>
              <w:right w:w="120" w:type="dxa"/>
            </w:tcMar>
          </w:tcPr>
          <w:p>
            <w:r>
              <w:rPr>
                <w:sz w:val="19"/>
              </w:rPr>
              <w:t>Per kWh</w:t>
            </w:r>
          </w:p>
        </w:tc>
        <w:tc>
          <w:tcPr>
            <w:tcW w:type="dxa" w:w="1872"/>
            <w:shd w:fill="F9FAFB"/>
            <w:tcMar>
              <w:top w:w="100" w:type="dxa"/>
              <w:bottom w:w="100" w:type="dxa"/>
              <w:left w:w="120" w:type="dxa"/>
              <w:right w:w="120" w:type="dxa"/>
            </w:tcMar>
          </w:tcPr>
          <w:p>
            <w:r>
              <w:rPr>
                <w:sz w:val="19"/>
              </w:rPr>
              <w:t>0.386 kg CO2e</w:t>
            </w:r>
          </w:p>
        </w:tc>
        <w:tc>
          <w:tcPr>
            <w:tcW w:type="dxa" w:w="1872"/>
            <w:shd w:fill="F9FAFB"/>
            <w:tcMar>
              <w:top w:w="100" w:type="dxa"/>
              <w:bottom w:w="100" w:type="dxa"/>
              <w:left w:w="120" w:type="dxa"/>
              <w:right w:w="120" w:type="dxa"/>
            </w:tcMar>
          </w:tcPr>
          <w:p>
            <w:r>
              <w:rPr>
                <w:sz w:val="19"/>
              </w:rPr>
              <w:t>0.820 kg CO2e</w:t>
            </w:r>
          </w:p>
        </w:tc>
        <w:tc>
          <w:tcPr>
            <w:tcW w:type="dxa" w:w="1872"/>
            <w:shd w:fill="F9FAFB"/>
            <w:tcMar>
              <w:top w:w="100" w:type="dxa"/>
              <w:bottom w:w="100" w:type="dxa"/>
              <w:left w:w="120" w:type="dxa"/>
              <w:right w:w="120" w:type="dxa"/>
            </w:tcMar>
          </w:tcPr>
          <w:p>
            <w:r>
              <w:rPr>
                <w:sz w:val="19"/>
              </w:rPr>
              <w:t>0.207 kg CO2e</w:t>
            </w:r>
          </w:p>
        </w:tc>
      </w:tr>
      <w:tr>
        <w:tc>
          <w:tcPr>
            <w:tcW w:type="dxa" w:w="1872"/>
            <w:shd w:fill="FFFFFF"/>
            <w:tcMar>
              <w:top w:w="100" w:type="dxa"/>
              <w:bottom w:w="100" w:type="dxa"/>
              <w:left w:w="120" w:type="dxa"/>
              <w:right w:w="120" w:type="dxa"/>
            </w:tcMar>
          </w:tcPr>
          <w:p>
            <w:r>
              <w:rPr>
                <w:sz w:val="19"/>
              </w:rPr>
              <w:t>Gasoline Travel</w:t>
            </w:r>
          </w:p>
        </w:tc>
        <w:tc>
          <w:tcPr>
            <w:tcW w:type="dxa" w:w="1872"/>
            <w:shd w:fill="FFFFFF"/>
            <w:tcMar>
              <w:top w:w="100" w:type="dxa"/>
              <w:bottom w:w="100" w:type="dxa"/>
              <w:left w:w="120" w:type="dxa"/>
              <w:right w:w="120" w:type="dxa"/>
            </w:tcMar>
          </w:tcPr>
          <w:p>
            <w:r>
              <w:rPr>
                <w:sz w:val="19"/>
              </w:rPr>
              <w:t>Per Mile / KM</w:t>
            </w:r>
          </w:p>
        </w:tc>
        <w:tc>
          <w:tcPr>
            <w:tcW w:type="dxa" w:w="1872"/>
            <w:shd w:fill="FFFFFF"/>
            <w:tcMar>
              <w:top w:w="100" w:type="dxa"/>
              <w:bottom w:w="100" w:type="dxa"/>
              <w:left w:w="120" w:type="dxa"/>
              <w:right w:w="120" w:type="dxa"/>
            </w:tcMar>
          </w:tcPr>
          <w:p>
            <w:r>
              <w:rPr>
                <w:sz w:val="19"/>
              </w:rPr>
              <w:t>0.342 kg/mile</w:t>
            </w:r>
          </w:p>
        </w:tc>
        <w:tc>
          <w:tcPr>
            <w:tcW w:type="dxa" w:w="1872"/>
            <w:shd w:fill="FFFFFF"/>
            <w:tcMar>
              <w:top w:w="100" w:type="dxa"/>
              <w:bottom w:w="100" w:type="dxa"/>
              <w:left w:w="120" w:type="dxa"/>
              <w:right w:w="120" w:type="dxa"/>
            </w:tcMar>
          </w:tcPr>
          <w:p>
            <w:r>
              <w:rPr>
                <w:sz w:val="19"/>
              </w:rPr>
              <w:t>0.145 kg/km</w:t>
            </w:r>
          </w:p>
        </w:tc>
        <w:tc>
          <w:tcPr>
            <w:tcW w:type="dxa" w:w="1872"/>
            <w:shd w:fill="FFFFFF"/>
            <w:tcMar>
              <w:top w:w="100" w:type="dxa"/>
              <w:bottom w:w="100" w:type="dxa"/>
              <w:left w:w="120" w:type="dxa"/>
              <w:right w:w="120" w:type="dxa"/>
            </w:tcMar>
          </w:tcPr>
          <w:p>
            <w:r>
              <w:rPr>
                <w:sz w:val="19"/>
              </w:rPr>
              <w:t>0.170 kg/km</w:t>
            </w:r>
          </w:p>
        </w:tc>
      </w:tr>
      <w:tr>
        <w:tc>
          <w:tcPr>
            <w:tcW w:type="dxa" w:w="1872"/>
            <w:shd w:fill="F9FAFB"/>
            <w:tcMar>
              <w:top w:w="100" w:type="dxa"/>
              <w:bottom w:w="100" w:type="dxa"/>
              <w:left w:w="120" w:type="dxa"/>
              <w:right w:w="120" w:type="dxa"/>
            </w:tcMar>
          </w:tcPr>
          <w:p>
            <w:r>
              <w:rPr>
                <w:sz w:val="19"/>
              </w:rPr>
              <w:t>Aviation (Short Haul)</w:t>
            </w:r>
          </w:p>
        </w:tc>
        <w:tc>
          <w:tcPr>
            <w:tcW w:type="dxa" w:w="1872"/>
            <w:shd w:fill="F9FAFB"/>
            <w:tcMar>
              <w:top w:w="100" w:type="dxa"/>
              <w:bottom w:w="100" w:type="dxa"/>
              <w:left w:w="120" w:type="dxa"/>
              <w:right w:w="120" w:type="dxa"/>
            </w:tcMar>
          </w:tcPr>
          <w:p>
            <w:r>
              <w:rPr>
                <w:sz w:val="19"/>
              </w:rPr>
              <w:t>Per Passenger Metric</w:t>
            </w:r>
          </w:p>
        </w:tc>
        <w:tc>
          <w:tcPr>
            <w:tcW w:type="dxa" w:w="1872"/>
            <w:shd w:fill="F9FAFB"/>
            <w:tcMar>
              <w:top w:w="100" w:type="dxa"/>
              <w:bottom w:w="100" w:type="dxa"/>
              <w:left w:w="120" w:type="dxa"/>
              <w:right w:w="120" w:type="dxa"/>
            </w:tcMar>
          </w:tcPr>
          <w:p>
            <w:r>
              <w:rPr>
                <w:sz w:val="19"/>
              </w:rPr>
              <w:t>0.215 kg/mile</w:t>
            </w:r>
          </w:p>
        </w:tc>
        <w:tc>
          <w:tcPr>
            <w:tcW w:type="dxa" w:w="1872"/>
            <w:shd w:fill="F9FAFB"/>
            <w:tcMar>
              <w:top w:w="100" w:type="dxa"/>
              <w:bottom w:w="100" w:type="dxa"/>
              <w:left w:w="120" w:type="dxa"/>
              <w:right w:w="120" w:type="dxa"/>
            </w:tcMar>
          </w:tcPr>
          <w:p>
            <w:r>
              <w:rPr>
                <w:sz w:val="19"/>
              </w:rPr>
              <w:t>0.121 kg/km</w:t>
            </w:r>
          </w:p>
        </w:tc>
        <w:tc>
          <w:tcPr>
            <w:tcW w:type="dxa" w:w="1872"/>
            <w:shd w:fill="F9FAFB"/>
            <w:tcMar>
              <w:top w:w="100" w:type="dxa"/>
              <w:bottom w:w="100" w:type="dxa"/>
              <w:left w:w="120" w:type="dxa"/>
              <w:right w:w="120" w:type="dxa"/>
            </w:tcMar>
          </w:tcPr>
          <w:p>
            <w:r>
              <w:rPr>
                <w:sz w:val="19"/>
              </w:rPr>
              <w:t>0.151 kg/km</w:t>
            </w:r>
          </w:p>
        </w:tc>
      </w:tr>
      <w:tr>
        <w:tc>
          <w:tcPr>
            <w:tcW w:type="dxa" w:w="1872"/>
            <w:shd w:fill="FFFFFF"/>
            <w:tcMar>
              <w:top w:w="100" w:type="dxa"/>
              <w:bottom w:w="100" w:type="dxa"/>
              <w:left w:w="120" w:type="dxa"/>
              <w:right w:w="120" w:type="dxa"/>
            </w:tcMar>
          </w:tcPr>
          <w:p>
            <w:r>
              <w:rPr>
                <w:sz w:val="19"/>
              </w:rPr>
              <w:t>Dietary (High Meat)</w:t>
            </w:r>
          </w:p>
        </w:tc>
        <w:tc>
          <w:tcPr>
            <w:tcW w:type="dxa" w:w="1872"/>
            <w:shd w:fill="FFFFFF"/>
            <w:tcMar>
              <w:top w:w="100" w:type="dxa"/>
              <w:bottom w:w="100" w:type="dxa"/>
              <w:left w:w="120" w:type="dxa"/>
              <w:right w:w="120" w:type="dxa"/>
            </w:tcMar>
          </w:tcPr>
          <w:p>
            <w:r>
              <w:rPr>
                <w:sz w:val="19"/>
              </w:rPr>
              <w:t>Per Diem Load</w:t>
            </w:r>
          </w:p>
        </w:tc>
        <w:tc>
          <w:tcPr>
            <w:tcW w:type="dxa" w:w="1872"/>
            <w:shd w:fill="FFFFFF"/>
            <w:tcMar>
              <w:top w:w="100" w:type="dxa"/>
              <w:bottom w:w="100" w:type="dxa"/>
              <w:left w:w="120" w:type="dxa"/>
              <w:right w:w="120" w:type="dxa"/>
            </w:tcMar>
          </w:tcPr>
          <w:p>
            <w:r>
              <w:rPr>
                <w:sz w:val="19"/>
              </w:rPr>
              <w:t>7.260 kg/day</w:t>
            </w:r>
          </w:p>
        </w:tc>
        <w:tc>
          <w:tcPr>
            <w:tcW w:type="dxa" w:w="1872"/>
            <w:shd w:fill="FFFFFF"/>
            <w:tcMar>
              <w:top w:w="100" w:type="dxa"/>
              <w:bottom w:w="100" w:type="dxa"/>
              <w:left w:w="120" w:type="dxa"/>
              <w:right w:w="120" w:type="dxa"/>
            </w:tcMar>
          </w:tcPr>
          <w:p>
            <w:r>
              <w:rPr>
                <w:sz w:val="19"/>
              </w:rPr>
              <w:t>6.850 kg/day</w:t>
            </w:r>
          </w:p>
        </w:tc>
        <w:tc>
          <w:tcPr>
            <w:tcW w:type="dxa" w:w="1872"/>
            <w:shd w:fill="FFFFFF"/>
            <w:tcMar>
              <w:top w:w="100" w:type="dxa"/>
              <w:bottom w:w="100" w:type="dxa"/>
              <w:left w:w="120" w:type="dxa"/>
              <w:right w:w="120" w:type="dxa"/>
            </w:tcMar>
          </w:tcPr>
          <w:p>
            <w:r>
              <w:rPr>
                <w:sz w:val="19"/>
              </w:rPr>
              <w:t>7.190 kg/day</w:t>
            </w:r>
          </w:p>
        </w:tc>
      </w:tr>
      <w:tr>
        <w:tc>
          <w:tcPr>
            <w:tcW w:type="dxa" w:w="1872"/>
            <w:shd w:fill="F9FAFB"/>
            <w:tcMar>
              <w:top w:w="100" w:type="dxa"/>
              <w:bottom w:w="100" w:type="dxa"/>
              <w:left w:w="120" w:type="dxa"/>
              <w:right w:w="120" w:type="dxa"/>
            </w:tcMar>
          </w:tcPr>
          <w:p>
            <w:r>
              <w:rPr>
                <w:sz w:val="19"/>
              </w:rPr>
              <w:t>Waste Stream Mix</w:t>
            </w:r>
          </w:p>
        </w:tc>
        <w:tc>
          <w:tcPr>
            <w:tcW w:type="dxa" w:w="1872"/>
            <w:shd w:fill="F9FAFB"/>
            <w:tcMar>
              <w:top w:w="100" w:type="dxa"/>
              <w:bottom w:w="100" w:type="dxa"/>
              <w:left w:w="120" w:type="dxa"/>
              <w:right w:w="120" w:type="dxa"/>
            </w:tcMar>
          </w:tcPr>
          <w:p>
            <w:r>
              <w:rPr>
                <w:sz w:val="19"/>
              </w:rPr>
              <w:t>Per Metric Mass Unit</w:t>
            </w:r>
          </w:p>
        </w:tc>
        <w:tc>
          <w:tcPr>
            <w:tcW w:type="dxa" w:w="1872"/>
            <w:shd w:fill="F9FAFB"/>
            <w:tcMar>
              <w:top w:w="100" w:type="dxa"/>
              <w:bottom w:w="100" w:type="dxa"/>
              <w:left w:w="120" w:type="dxa"/>
              <w:right w:w="120" w:type="dxa"/>
            </w:tcMar>
          </w:tcPr>
          <w:p>
            <w:r>
              <w:rPr>
                <w:sz w:val="19"/>
              </w:rPr>
              <w:t>420.00 kg/ton</w:t>
            </w:r>
          </w:p>
        </w:tc>
        <w:tc>
          <w:tcPr>
            <w:tcW w:type="dxa" w:w="1872"/>
            <w:shd w:fill="F9FAFB"/>
            <w:tcMar>
              <w:top w:w="100" w:type="dxa"/>
              <w:bottom w:w="100" w:type="dxa"/>
              <w:left w:w="120" w:type="dxa"/>
              <w:right w:w="120" w:type="dxa"/>
            </w:tcMar>
          </w:tcPr>
          <w:p>
            <w:r>
              <w:rPr>
                <w:sz w:val="19"/>
              </w:rPr>
              <w:t>0.510 kg/kg</w:t>
            </w:r>
          </w:p>
        </w:tc>
        <w:tc>
          <w:tcPr>
            <w:tcW w:type="dxa" w:w="1872"/>
            <w:shd w:fill="F9FAFB"/>
            <w:tcMar>
              <w:top w:w="100" w:type="dxa"/>
              <w:bottom w:w="100" w:type="dxa"/>
              <w:left w:w="120" w:type="dxa"/>
              <w:right w:w="120" w:type="dxa"/>
            </w:tcMar>
          </w:tcPr>
          <w:p>
            <w:r>
              <w:rPr>
                <w:sz w:val="19"/>
              </w:rPr>
              <w:t>0.390 kg/kg</w:t>
            </w:r>
          </w:p>
        </w:tc>
      </w:tr>
    </w:tbl>
    <w:p>
      <w:pPr>
        <w:spacing w:after="240"/>
      </w:pPr>
    </w:p>
    <w:p>
      <w:pPr>
        <w:pStyle w:val="Heading1"/>
        <w:spacing w:before="360" w:after="120"/>
      </w:pPr>
      <w:r>
        <w:rPr>
          <w:b/>
          <w:color w:val="065F46"/>
          <w:sz w:val="32"/>
        </w:rPr>
        <w:t>3. Core Application Architecture &amp; Components</w:t>
      </w:r>
    </w:p>
    <w:p>
      <w:r>
        <w:t>CarbonLens utilizes an explicitly decoupled, modern single-page application layer structure built natively inside React, TypeScript, and functional styling architectures. All workflows follow localized reactive rules to maintain state consistency across views.</w:t>
      </w:r>
    </w:p>
    <w:p>
      <w:pPr>
        <w:pStyle w:val="Heading2"/>
        <w:spacing w:before="240" w:after="80"/>
      </w:pPr>
      <w:r>
        <w:rPr>
          <w:b/>
          <w:color w:val="1E293B"/>
          <w:sz w:val="26"/>
        </w:rPr>
        <w:t>Premium Glassmorphic Navigation Design</w:t>
      </w:r>
    </w:p>
    <w:p>
      <w:r>
        <w:t>The navigation component framework ('Header.tsx') establishes a unified eco-focused design theme leveraging modern visual parameters. Key implementation metrics include:</w:t>
      </w:r>
    </w:p>
    <w:p>
      <w:pPr>
        <w:pStyle w:val="ListBullet"/>
      </w:pPr>
      <w:r>
        <w:rPr>
          <w:b/>
        </w:rPr>
        <w:t xml:space="preserve">Glassmorphic Backdrop Blur Matrix: </w:t>
      </w:r>
      <w:r>
        <w:t>Utilizes semi-transparent layers via 'bg-white/70' or 'bg-emerald-50/80' coupled with 'backdrop-blur-md' to create a clear frosted glass effect that subtly previews content passing beneath on active scrolling workflows.</w:t>
      </w:r>
    </w:p>
    <w:p>
      <w:pPr>
        <w:pStyle w:val="ListBullet"/>
      </w:pPr>
      <w:r>
        <w:rPr>
          <w:b/>
        </w:rPr>
        <w:t xml:space="preserve">Visual Anchor Bounds: </w:t>
      </w:r>
      <w:r>
        <w:t>Equipped with an ultra-thin green boundary accent ('border-b border-emerald-100/50') and configured with fixed layout constraints ('sticky top-0 z-50') to permanently anchor user navigational routes safely above multi-layered graphic templates.</w:t>
      </w:r>
    </w:p>
    <w:p>
      <w:pPr>
        <w:pStyle w:val="ListBullet"/>
      </w:pPr>
      <w:r>
        <w:rPr>
          <w:b/>
        </w:rPr>
        <w:t xml:space="preserve">Contextual Security Indicators: </w:t>
      </w:r>
      <w:r>
        <w:t>Public features ('Carbon Math') showcase an active, soft-tint mint rounded capsule shape ('bg-emerald-100/60 text-emerald-800'). Authenticated/protected tabs ('Dashboard', 'Quiz', 'Action Center', 'Eco-Garden') isolate the typography via specialized disabled styling tokens ('text-slate-400') paired with elegant miniature padlock icons pulled from 'lucide-react'. Standard hover events safely compute interactive micro-tooltips warning users to complete authentication structures.</w:t>
      </w:r>
    </w:p>
    <w:p>
      <w:pPr>
        <w:pStyle w:val="ListBullet"/>
      </w:pPr>
      <w:r>
        <w:rPr>
          <w:b/>
        </w:rPr>
        <w:t xml:space="preserve">Dedicated Call-To-Action (CTA): </w:t>
      </w:r>
      <w:r>
        <w:t>An explicit 'Get Started / Sign In' element anchors the right boundary using a high-density green color state ('bg-emerald-600 hover:bg-emerald-700 transition-colors') ensuring users easily navigate onboarding entry-points.</w:t>
      </w:r>
    </w:p>
    <w:p>
      <w:pPr>
        <w:pStyle w:val="Heading1"/>
        <w:spacing w:before="360" w:after="120"/>
      </w:pPr>
      <w:r>
        <w:rPr>
          <w:b/>
          <w:color w:val="065F46"/>
          <w:sz w:val="32"/>
        </w:rPr>
        <w:t>4. Deep-Dive Gamification Engine</w:t>
      </w:r>
    </w:p>
    <w:p>
      <w:r>
        <w:t>The core behavioral pillar of CarbonLens centers on two main interactive mechanics: The Reactive Eco-Garden Canvas and the Simulated Regional Social Leaderboard.</w:t>
      </w:r>
    </w:p>
    <w:p>
      <w:pPr>
        <w:pStyle w:val="Heading2"/>
        <w:spacing w:before="240" w:after="80"/>
      </w:pPr>
      <w:r>
        <w:rPr>
          <w:b/>
          <w:color w:val="1E293B"/>
          <w:sz w:val="26"/>
        </w:rPr>
        <w:t>A. The Dynamic Eco-Garden Engine</w:t>
      </w:r>
    </w:p>
    <w:p>
      <w:r>
        <w:t>Instead of processing carbon scores through standard analytical histograms, metrics map mathematically to a real-time responsive SVG layout. The system monitors a performance delta derived from active data entry cycles: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59669"/>
              <w:top w:val="none"/>
              <w:bottom w:val="none"/>
              <w:right w:val="none"/>
            </w:tcBorders>
          </w:tcPr>
          <w:p>
            <w:pPr>
              <w:spacing w:before="0" w:after="80"/>
            </w:pPr>
            <w:r>
              <w:rPr>
                <w:rFonts w:ascii="Arial" w:hAnsi="Arial"/>
                <w:b/>
                <w:color w:val="065F46"/>
                <w:sz w:val="22"/>
              </w:rPr>
              <w:t>📐 DELTA PROGRESSION METRIC</w:t>
              <w:br/>
            </w:r>
            <w:r>
              <w:rPr>
                <w:rFonts w:ascii="Arial" w:hAnsi="Arial"/>
                <w:i/>
                <w:color w:val="334155"/>
                <w:sz w:val="21"/>
              </w:rPr>
              <w:t>Performance Delta (Δ) = (User Onboarding Baseline - Active Weekly Score) / User Onboarding Baseline</w:t>
            </w:r>
          </w:p>
        </w:tc>
      </w:tr>
    </w:tbl>
    <w:p>
      <w:r>
        <w:t>The progression model evaluates this performance modifier to render 5 granular ecosystem growth tiers:</w:t>
      </w:r>
    </w:p>
    <w:p>
      <w:pPr>
        <w:pStyle w:val="ListBullet"/>
      </w:pPr>
      <w:r>
        <w:rPr>
          <w:b/>
        </w:rPr>
        <w:t xml:space="preserve">Tier 1: Arid Topography (Δ &lt;= 0.00): </w:t>
      </w:r>
      <w:r>
        <w:t>Represents standard baseline stagnation or emission increases. The UI renders a dry, parched desert layout indicating an unmitigated lifestyle.</w:t>
      </w:r>
    </w:p>
    <w:p>
      <w:pPr>
        <w:pStyle w:val="ListBullet"/>
      </w:pPr>
      <w:r>
        <w:rPr>
          <w:b/>
        </w:rPr>
        <w:t xml:space="preserve">Tier 2: Germination Phase (Δ between 0.01 and 0.25): </w:t>
      </w:r>
      <w:r>
        <w:t>Triggered upon initiating initial lifestyle changes. Faint green seedling clusters break through the vector landscape boundaries.</w:t>
      </w:r>
    </w:p>
    <w:p>
      <w:pPr>
        <w:pStyle w:val="ListBullet"/>
      </w:pPr>
      <w:r>
        <w:rPr>
          <w:b/>
        </w:rPr>
        <w:t xml:space="preserve">Tier 3: Emergent Canopy (Δ between 0.26 and 0.50): </w:t>
      </w:r>
      <w:r>
        <w:t>Steady progress translates to the emergence of substantial structural flora, rendering animated leafy bush clusters and saplings.</w:t>
      </w:r>
    </w:p>
    <w:p>
      <w:pPr>
        <w:pStyle w:val="ListBullet"/>
      </w:pPr>
      <w:r>
        <w:rPr>
          <w:b/>
        </w:rPr>
        <w:t xml:space="preserve">Tier 4: Mature Woodland (Δ between 0.51 and 0.75): </w:t>
      </w:r>
      <w:r>
        <w:t>Significant mitigation milestones spawn deep, mature, shade-producing tree assets, creating an established green cover footprint.</w:t>
      </w:r>
    </w:p>
    <w:p>
      <w:pPr>
        <w:pStyle w:val="ListBullet"/>
      </w:pPr>
      <w:r>
        <w:rPr>
          <w:b/>
        </w:rPr>
        <w:t xml:space="preserve">Tier 5: Biosphere Synthesis (Δ &gt;= 0.76): </w:t>
      </w:r>
      <w:r>
        <w:t>Achieving maximum carbon optimization triggers a hyper-diverse ecosystem rendering, featuring interactive flower sets, fruit layers, and wildlife vectors.</w:t>
      </w:r>
    </w:p>
    <w:p>
      <w:r>
        <w:t>Psychological Utility: The garden leverages the cognitive bias of Loss Aversion. Because the interface fluctuates dynamically based on rolling database inputs, poor environmental habits actively shift the garden backward into a distressed state, motivating the user to prioritize carbon-mitigating habits to preserve their digital asset.</w:t>
      </w:r>
    </w:p>
    <w:p>
      <w:pPr>
        <w:pStyle w:val="Heading2"/>
        <w:spacing w:before="240" w:after="80"/>
      </w:pPr>
      <w:r>
        <w:rPr>
          <w:b/>
          <w:color w:val="1E293B"/>
          <w:sz w:val="26"/>
        </w:rPr>
        <w:t>B. Simulated Social Competition Matrix</w:t>
      </w:r>
    </w:p>
    <w:p>
      <w:r>
        <w:t>To simulate networked engagement within a localized client-only structure, CarbonLens operates a competitive Regional Leaderboard parsing against a deterministic collection of 150 unique mock profile items seeded inside browser state. As users fulfill objectives within the Action Center, their net score decreases, triggering real-time climbing animations across leaderboard rows and unlocking tiered social status designations ('Climate Champion', 'Eco Advocate').</w:t>
      </w:r>
    </w:p>
    <w:p>
      <w:pPr>
        <w:pStyle w:val="Heading1"/>
        <w:spacing w:before="360" w:after="120"/>
      </w:pPr>
      <w:r>
        <w:rPr>
          <w:b/>
          <w:color w:val="065F46"/>
          <w:sz w:val="32"/>
        </w:rPr>
        <w:t>5. Technical Operational Assumptions &amp; Sandbox Constraints</w:t>
      </w:r>
    </w:p>
    <w:p>
      <w:r>
        <w:t>To maintain structural transparency, developers and auditors must evaluate the system framework against the following deterministic sandbox scope rules:</w:t>
      </w:r>
    </w:p>
    <w:p>
      <w:pPr>
        <w:pStyle w:val="ListBullet"/>
      </w:pPr>
      <w:r>
        <w:rPr>
          <w:b/>
        </w:rPr>
        <w:t xml:space="preserve">Local-First Architecture Isolation: </w:t>
      </w:r>
      <w:r>
        <w:t>The application contains no external persistence database infrastructure. All profiles, metric configurations, and state indexes run purely within LocalStorage and IndexedDB layers, keeping user data entirely private and instantly accessible offline.</w:t>
      </w:r>
    </w:p>
    <w:p>
      <w:pPr>
        <w:pStyle w:val="ListBullet"/>
      </w:pPr>
      <w:r>
        <w:rPr>
          <w:b/>
        </w:rPr>
        <w:t xml:space="preserve">Normalized Grid Coefficients: </w:t>
      </w:r>
      <w:r>
        <w:t>Utility grid emission factors represent fixed annual regional averages. The calculations do not parse live real-time smart meter grid telemetry or seasonal mix alterations.</w:t>
      </w:r>
    </w:p>
    <w:p>
      <w:pPr>
        <w:pStyle w:val="ListBullet"/>
      </w:pPr>
      <w:r>
        <w:rPr>
          <w:b/>
        </w:rPr>
        <w:t xml:space="preserve">Linear Mitigation Formulas: </w:t>
      </w:r>
      <w:r>
        <w:t>Points credited for completing tasks within the Action Center apply static carbon reduction weights mapped from generalized lifestyle trend data rather than executing dynamic life-cycle assessments (LCA) for specific retail items.</w:t>
      </w:r>
    </w:p>
    <w:p>
      <w:pPr>
        <w:pStyle w:val="Heading1"/>
        <w:spacing w:before="360" w:after="120"/>
      </w:pPr>
      <w:r>
        <w:rPr>
          <w:b/>
          <w:color w:val="065F46"/>
          <w:sz w:val="32"/>
        </w:rPr>
        <w:t>6. Local Infrastructure Initialization &amp; Deployment Scripts</w:t>
      </w:r>
    </w:p>
    <w:p>
      <w:r>
        <w:t>To clone the codebase, initialize local hot-reloading compilers, and evaluate changes locally, execute the following standard shell directives:</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50" w:type="dxa"/>
              <w:right w:w="150" w:type="dxa"/>
            </w:tcMar>
          </w:tcPr>
          <w:p>
            <w:r>
              <w:rPr>
                <w:rFonts w:ascii="Consolas" w:hAnsi="Consolas"/>
                <w:color w:val="F8FAFC"/>
                <w:sz w:val="19"/>
              </w:rPr>
              <w:t># Clone the target repository path from your GitHub account</w:t>
              <w:br/>
              <w:t>git clone https://github.com/YOUR_ACCOUNT/Carbon_Footprinting_Application.git</w:t>
              <w:br/>
              <w:br/>
              <w:t># Shift the directory terminal focus to the workspace root</w:t>
              <w:br/>
              <w:t>cd Carbon_Footprinting_Application</w:t>
              <w:br/>
              <w:br/>
              <w:t># Fetch and unpack all modern TypeScript, React, and layout package modules</w:t>
              <w:br/>
              <w:t>npm install</w:t>
              <w:br/>
              <w:br/>
              <w:t># Launch the local Vite compiler and boot up the hot-reload server</w:t>
              <w:br/>
              <w:t>npm run dev</w:t>
            </w:r>
          </w:p>
        </w:tc>
      </w:tr>
    </w:tbl>
    <w:p>
      <w:pPr>
        <w:spacing w:before="240"/>
      </w:pPr>
      <w:r>
        <w:rPr>
          <w:sz w:val="20"/>
        </w:rPr>
        <w:t xml:space="preserve">Once compilation finishes, point your browser to the local loopback address printed in the terminal (typically </w:t>
      </w:r>
      <w:r>
        <w:rPr>
          <w:b/>
        </w:rPr>
        <w:t>http://localhost:5173</w:t>
      </w:r>
      <w:r>
        <w:t>) to review code changes live. Continuous delivery integrates with the primary branch via custom GitHub Actions pipelines directly routing code updates out to the active Netlify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