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MEMORANDUM</w:t>
      </w:r>
    </w:p>
    <w:p>
      <w:pPr>
        <w:pBdr>
          <w:bottom w:val="single" w:color="1F3864" w:sz="12" w:space="1"/>
        </w:pBdr>
        <w:spacing w:after="100" w:before="0"/>
        <w:jc w:val="center"/>
      </w:pPr>
      <w:r>
        <w:rPr>
          <w:rFonts w:ascii="Calibri" w:cs="Calibri" w:eastAsia="Calibri" w:hAnsi="Calibri"/>
          <w:i/>
          <w:iCs/>
          <w:color w:val="2F5496"/>
          <w:sz w:val="20"/>
          <w:szCs w:val="20"/>
        </w:rPr>
        <w:t xml:space="preserve">RetailCo Strategic Finance — Capital Allocation Decision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80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TO:</w:t>
            </w:r>
          </w:p>
        </w:tc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Chief Financial Officer, RetailCo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FROM:</w:t>
            </w:r>
          </w:p>
        </w:tc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Strategic Finance — Capital Allocation Team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DATE:</w:t>
            </w:r>
          </w:p>
        </w:tc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 June 2026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RE:</w:t>
            </w:r>
          </w:p>
        </w:tc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FY2024 Capital Allocation — $5,000,000 Investment Portfolio Recommendation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2F5496" w:sz="8" w:space="1"/>
        </w:pBdr>
        <w:spacing w:after="120" w:before="120"/>
      </w:pPr>
      <w:r>
        <w:t xml:space="preserve"/>
      </w:r>
    </w:p>
    <w:p>
      <w:pPr>
        <w:shd w:fill="1F3864" w:val="clear"/>
        <w:spacing w:after="80" w:before="80"/>
        <w:ind w:left="80" w:right="8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EXECUTIVE SUMMARY</w:t>
      </w:r>
    </w:p>
    <w:p>
      <w:pPr>
        <w:spacing w:after="80" w:before="0"/>
      </w:pPr>
      <w:r>
        <w:t xml:space="preserve"/>
      </w:r>
    </w:p>
    <w:p>
      <w:pPr>
        <w:spacing w:after="60" w:before="6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RetailCo's FY2024 capital budget of $5,000,000 falls short of the total investment pipeline of $6,700,000 across 8 proposed projects. After applying DCF analysis, composite risk scoring, Monte Carlo simulation across 40,000 runs, and a brute-force combinatorial optimiser that evaluated all 255 possible investment subsets, we recommend committing to 5 investments. The resulting portfolio delivers a net present value of $643,640 at 88% budget utilisation — $54,130 ahead of what simple NPV ranking would have produced.</w:t>
      </w:r>
    </w:p>
    <w:p>
      <w:pPr>
        <w:pBdr>
          <w:bottom w:val="single" w:color="2F5496" w:sz="8" w:space="1"/>
        </w:pBdr>
        <w:spacing w:after="120" w:before="120"/>
      </w:pPr>
      <w:r>
        <w:t xml:space="preserve"/>
      </w:r>
    </w:p>
    <w:p>
      <w:pPr>
        <w:shd w:fill="1F3864" w:val="clear"/>
        <w:spacing w:after="80" w:before="80"/>
        <w:ind w:left="80" w:right="8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RECOMMENDED CAPITAL ALLOCATION</w:t>
      </w:r>
    </w:p>
    <w:p>
      <w:pPr>
        <w:spacing w:after="120" w:before="0"/>
      </w:pPr>
      <w:r>
        <w:t xml:space="preserve"/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375623"/>
          <w:sz w:val="19"/>
          <w:szCs w:val="19"/>
        </w:rPr>
        <w:t xml:space="preserve">FUND — Included in Optimal Portfolio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1700"/>
        <w:gridCol w:w="1700"/>
        <w:gridCol w:w="1200"/>
      </w:tblGrid>
      <w:tr>
        <w:tc>
          <w:tcPr>
            <w:tcW w:type="dxa" w:w="28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Investment</w:t>
            </w:r>
          </w:p>
        </w:tc>
        <w:tc>
          <w:tcPr>
            <w:tcW w:type="dxa" w:w="17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Cost ($)</w:t>
            </w:r>
          </w:p>
        </w:tc>
        <w:tc>
          <w:tcPr>
            <w:tcW w:type="dxa" w:w="17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NPV ($)</w:t>
            </w:r>
          </w:p>
        </w:tc>
        <w:tc>
          <w:tcPr>
            <w:tcW w:type="dxa" w:w="17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IRR (%)</w:t>
            </w:r>
          </w:p>
        </w:tc>
        <w:tc>
          <w:tcPr>
            <w:tcW w:type="dxa" w:w="12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Risk Score</w:t>
            </w:r>
          </w:p>
        </w:tc>
      </w:tr>
      <w:tr>
        <w:tc>
          <w:tcPr>
            <w:tcW w:type="dxa" w:w="28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E-Commerce Platform</w:t>
            </w:r>
          </w:p>
        </w:tc>
        <w:tc>
          <w:tcPr>
            <w:tcW w:type="dxa" w:w="17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800,000</w:t>
            </w:r>
          </w:p>
        </w:tc>
        <w:tc>
          <w:tcPr>
            <w:tcW w:type="dxa" w:w="17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17"/>
                <w:szCs w:val="17"/>
              </w:rPr>
              <w:t xml:space="preserve">122,440</w:t>
            </w:r>
          </w:p>
        </w:tc>
        <w:tc>
          <w:tcPr>
            <w:tcW w:type="dxa" w:w="17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13.21%</w:t>
            </w:r>
          </w:p>
        </w:tc>
        <w:tc>
          <w:tcPr>
            <w:tcW w:type="dxa" w:w="12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5.38</w:t>
            </w:r>
          </w:p>
        </w:tc>
      </w:tr>
      <w:tr>
        <w:tc>
          <w:tcPr>
            <w:tcW w:type="dxa" w:w="28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Geographic Expansion</w:t>
            </w:r>
          </w:p>
        </w:tc>
        <w:tc>
          <w:tcPr>
            <w:tcW w:type="dxa" w:w="17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1,000,000</w:t>
            </w:r>
          </w:p>
        </w:tc>
        <w:tc>
          <w:tcPr>
            <w:tcW w:type="dxa" w:w="17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17"/>
                <w:szCs w:val="17"/>
              </w:rPr>
              <w:t xml:space="preserve">141,260</w:t>
            </w:r>
          </w:p>
        </w:tc>
        <w:tc>
          <w:tcPr>
            <w:tcW w:type="dxa" w:w="17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7.45%</w:t>
            </w:r>
          </w:p>
        </w:tc>
        <w:tc>
          <w:tcPr>
            <w:tcW w:type="dxa" w:w="12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7.12</w:t>
            </w:r>
          </w:p>
        </w:tc>
      </w:tr>
      <w:tr>
        <w:tc>
          <w:tcPr>
            <w:tcW w:type="dxa" w:w="28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Warehouse Automation</w:t>
            </w:r>
          </w:p>
        </w:tc>
        <w:tc>
          <w:tcPr>
            <w:tcW w:type="dxa" w:w="17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700,000</w:t>
            </w:r>
          </w:p>
        </w:tc>
        <w:tc>
          <w:tcPr>
            <w:tcW w:type="dxa" w:w="17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17"/>
                <w:szCs w:val="17"/>
              </w:rPr>
              <w:t xml:space="preserve">93,640</w:t>
            </w:r>
          </w:p>
        </w:tc>
        <w:tc>
          <w:tcPr>
            <w:tcW w:type="dxa" w:w="17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12.79%</w:t>
            </w:r>
          </w:p>
        </w:tc>
        <w:tc>
          <w:tcPr>
            <w:tcW w:type="dxa" w:w="12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2.86</w:t>
            </w:r>
          </w:p>
        </w:tc>
      </w:tr>
      <w:tr>
        <w:tc>
          <w:tcPr>
            <w:tcW w:type="dxa" w:w="28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Customer Loyalty Prog</w:t>
            </w:r>
          </w:p>
        </w:tc>
        <w:tc>
          <w:tcPr>
            <w:tcW w:type="dxa" w:w="17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400,000</w:t>
            </w:r>
          </w:p>
        </w:tc>
        <w:tc>
          <w:tcPr>
            <w:tcW w:type="dxa" w:w="17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17"/>
                <w:szCs w:val="17"/>
              </w:rPr>
              <w:t xml:space="preserve">88,950</w:t>
            </w:r>
          </w:p>
        </w:tc>
        <w:tc>
          <w:tcPr>
            <w:tcW w:type="dxa" w:w="17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22.10%</w:t>
            </w:r>
          </w:p>
        </w:tc>
        <w:tc>
          <w:tcPr>
            <w:tcW w:type="dxa" w:w="12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1.00</w:t>
            </w:r>
          </w:p>
        </w:tc>
      </w:tr>
      <w:tr>
        <w:tc>
          <w:tcPr>
            <w:tcW w:type="dxa" w:w="28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Strategic Acquisition</w:t>
            </w:r>
          </w:p>
        </w:tc>
        <w:tc>
          <w:tcPr>
            <w:tcW w:type="dxa" w:w="17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1,500,000</w:t>
            </w:r>
          </w:p>
        </w:tc>
        <w:tc>
          <w:tcPr>
            <w:tcW w:type="dxa" w:w="17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17"/>
                <w:szCs w:val="17"/>
              </w:rPr>
              <w:t xml:space="preserve">197,350</w:t>
            </w:r>
          </w:p>
        </w:tc>
        <w:tc>
          <w:tcPr>
            <w:tcW w:type="dxa" w:w="17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8.47%</w:t>
            </w:r>
          </w:p>
        </w:tc>
        <w:tc>
          <w:tcPr>
            <w:tcW w:type="dxa" w:w="12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17"/>
                <w:szCs w:val="17"/>
              </w:rPr>
              <w:t xml:space="preserve">10.00</w:t>
            </w:r>
          </w:p>
        </w:tc>
      </w:tr>
      <w:tr>
        <w:tc>
          <w:tcPr>
            <w:tcW w:type="dxa" w:w="28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PORTFOLIO TOTAL</w:t>
            </w:r>
          </w:p>
        </w:tc>
        <w:tc>
          <w:tcPr>
            <w:tcW w:type="dxa" w:w="17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4,400,000</w:t>
            </w:r>
          </w:p>
        </w:tc>
        <w:tc>
          <w:tcPr>
            <w:tcW w:type="dxa" w:w="17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643,640</w:t>
            </w:r>
          </w:p>
        </w:tc>
        <w:tc>
          <w:tcPr>
            <w:tcW w:type="dxa" w:w="17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12.80% avg</w:t>
            </w:r>
          </w:p>
        </w:tc>
        <w:tc>
          <w:tcPr>
            <w:tcW w:type="dxa" w:w="12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5.27 avg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C00000"/>
          <w:sz w:val="19"/>
          <w:szCs w:val="19"/>
        </w:rPr>
        <w:t xml:space="preserve">DEFER — Excluded from Optimal Portfolio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300"/>
        <w:gridCol w:w="2300"/>
      </w:tblGrid>
      <w:tr>
        <w:tc>
          <w:tcPr>
            <w:tcW w:type="dxa" w:w="25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Investment</w:t>
            </w:r>
          </w:p>
        </w:tc>
        <w:tc>
          <w:tcPr>
            <w:tcW w:type="dxa" w:w="15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Cost ($)</w:t>
            </w:r>
          </w:p>
        </w:tc>
        <w:tc>
          <w:tcPr>
            <w:tcW w:type="dxa" w:w="15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NPV ($)</w:t>
            </w:r>
          </w:p>
        </w:tc>
        <w:tc>
          <w:tcPr>
            <w:tcW w:type="dxa" w:w="13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Risk Score</w:t>
            </w:r>
          </w:p>
        </w:tc>
        <w:tc>
          <w:tcPr>
            <w:tcW w:type="dxa" w:w="23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Reason</w:t>
            </w:r>
          </w:p>
        </w:tc>
      </w:tr>
      <w:tr>
        <w:tc>
          <w:tcPr>
            <w:tcW w:type="dxa" w:w="25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New Store Expansion</w:t>
            </w:r>
          </w:p>
        </w:tc>
        <w:tc>
          <w:tcPr>
            <w:tcW w:type="dxa" w:w="15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1,200,000</w:t>
            </w:r>
          </w:p>
        </w:tc>
        <w:tc>
          <w:tcPr>
            <w:tcW w:type="dxa" w:w="15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7"/>
                <w:szCs w:val="17"/>
              </w:rPr>
              <w:t xml:space="preserve">-68,999</w:t>
            </w:r>
          </w:p>
        </w:tc>
        <w:tc>
          <w:tcPr>
            <w:tcW w:type="dxa" w:w="13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17"/>
                <w:szCs w:val="17"/>
              </w:rPr>
              <w:t xml:space="preserve">6.83/10</w:t>
            </w:r>
          </w:p>
        </w:tc>
        <w:tc>
          <w:tcPr>
            <w:tcW w:type="dxa" w:w="23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Negative NPV</w:t>
            </w:r>
          </w:p>
        </w:tc>
      </w:tr>
      <w:tr>
        <w:tc>
          <w:tcPr>
            <w:tcW w:type="dxa" w:w="25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New Product Line</w:t>
            </w:r>
          </w:p>
        </w:tc>
        <w:tc>
          <w:tcPr>
            <w:tcW w:type="dxa" w:w="15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600,000</w:t>
            </w:r>
          </w:p>
        </w:tc>
        <w:tc>
          <w:tcPr>
            <w:tcW w:type="dxa" w:w="15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17"/>
                <w:szCs w:val="17"/>
              </w:rPr>
              <w:t xml:space="preserve">72,210</w:t>
            </w:r>
          </w:p>
        </w:tc>
        <w:tc>
          <w:tcPr>
            <w:tcW w:type="dxa" w:w="13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3.25/10</w:t>
            </w:r>
          </w:p>
        </w:tc>
        <w:tc>
          <w:tcPr>
            <w:tcW w:type="dxa" w:w="23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Crowded out by higher-NPV mix</w:t>
            </w:r>
          </w:p>
        </w:tc>
      </w:tr>
      <w:tr>
        <w:tc>
          <w:tcPr>
            <w:tcW w:type="dxa" w:w="25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Mobile App Investment</w:t>
            </w:r>
          </w:p>
        </w:tc>
        <w:tc>
          <w:tcPr>
            <w:tcW w:type="dxa" w:w="15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500,000</w:t>
            </w:r>
          </w:p>
        </w:tc>
        <w:tc>
          <w:tcPr>
            <w:tcW w:type="dxa" w:w="15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17"/>
                <w:szCs w:val="17"/>
              </w:rPr>
              <w:t xml:space="preserve">111,297</w:t>
            </w:r>
          </w:p>
        </w:tc>
        <w:tc>
          <w:tcPr>
            <w:tcW w:type="dxa" w:w="13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17"/>
                <w:szCs w:val="17"/>
              </w:rPr>
              <w:t xml:space="preserve">2.78/10</w:t>
            </w:r>
          </w:p>
        </w:tc>
        <w:tc>
          <w:tcPr>
            <w:tcW w:type="dxa" w:w="23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Budget constraint — revisit FY2027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60"/>
        <w:ind w:left="180"/>
      </w:pP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Key finding: </w:t>
      </w: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Brute-force optimisation identified this portfolio as $54,130 superior to greedy NPV-ranking selection — a 7.9% improvement. This confirms that mathematical optimisation, not intuitive ranking, is required for capital allocation under budget constraints.</w:t>
      </w:r>
    </w:p>
    <w:p>
      <w:pPr>
        <w:pBdr>
          <w:bottom w:val="single" w:color="2F5496" w:sz="8" w:space="1"/>
        </w:pBdr>
        <w:spacing w:after="120" w:before="120"/>
      </w:pPr>
      <w:r>
        <w:t xml:space="preserve"/>
      </w:r>
    </w:p>
    <w:p>
      <w:pPr>
        <w:shd w:fill="1F3864" w:val="clear"/>
        <w:spacing w:after="80" w:before="80"/>
        <w:ind w:left="80" w:right="8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KEY PORTFOLIO METRICS</w:t>
      </w:r>
    </w:p>
    <w:p>
      <w:pPr>
        <w:spacing w:after="80" w:before="0"/>
      </w:pPr>
      <w:r>
        <w:t xml:space="preserve"/>
      </w:r>
    </w:p>
    <w:p>
      <w:pPr>
        <w:tabs>
          <w:tab w:val="left" w:pos="4500"/>
        </w:tabs>
        <w:spacing w:after="40" w:before="40"/>
        <w:ind w:left="36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Total Portfolio NPV:</w:t>
      </w:r>
      <w:r>
        <w:rPr>
          <w:sz w:val="18"/>
          <w:szCs w:val="18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$643,640</w:t>
      </w:r>
    </w:p>
    <w:p>
      <w:pPr>
        <w:tabs>
          <w:tab w:val="left" w:pos="4500"/>
        </w:tabs>
        <w:spacing w:after="40" w:before="40"/>
        <w:ind w:left="36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Weighted Average IRR:</w:t>
      </w:r>
      <w:r>
        <w:rPr>
          <w:sz w:val="18"/>
          <w:szCs w:val="18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12.80%</w:t>
      </w:r>
    </w:p>
    <w:p>
      <w:pPr>
        <w:tabs>
          <w:tab w:val="left" w:pos="4500"/>
        </w:tabs>
        <w:spacing w:after="40" w:before="40"/>
        <w:ind w:left="36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Budget Utilisation:</w:t>
      </w:r>
      <w:r>
        <w:rPr>
          <w:sz w:val="18"/>
          <w:szCs w:val="18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88% of $5,000,000  ($600,000 remaining)</w:t>
      </w:r>
    </w:p>
    <w:p>
      <w:pPr>
        <w:tabs>
          <w:tab w:val="left" w:pos="4500"/>
        </w:tabs>
        <w:spacing w:after="40" w:before="40"/>
        <w:ind w:left="36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Average Payback Period:</w:t>
      </w:r>
      <w:r>
        <w:rPr>
          <w:sz w:val="18"/>
          <w:szCs w:val="18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4.1 years</w:t>
      </w:r>
    </w:p>
    <w:p>
      <w:pPr>
        <w:tabs>
          <w:tab w:val="left" w:pos="4500"/>
        </w:tabs>
        <w:spacing w:after="40" w:before="40"/>
        <w:ind w:left="36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Average Profitability Index:</w:t>
      </w:r>
      <w:r>
        <w:rPr>
          <w:sz w:val="18"/>
          <w:szCs w:val="18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1.08x</w:t>
      </w:r>
    </w:p>
    <w:p>
      <w:pPr>
        <w:tabs>
          <w:tab w:val="left" w:pos="4500"/>
        </w:tabs>
        <w:spacing w:after="40" w:before="40"/>
        <w:ind w:left="36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Average Risk Score:</w:t>
      </w:r>
      <w:r>
        <w:rPr>
          <w:sz w:val="18"/>
          <w:szCs w:val="18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5.27 / 10  (1=Safest, 10=Riskiest)</w:t>
      </w:r>
    </w:p>
    <w:p>
      <w:pPr>
        <w:tabs>
          <w:tab w:val="left" w:pos="4500"/>
        </w:tabs>
        <w:spacing w:after="40" w:before="40"/>
        <w:ind w:left="36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P(Portfolio NPV &gt; 0):</w:t>
      </w:r>
      <w:r>
        <w:rPr>
          <w:sz w:val="18"/>
          <w:szCs w:val="18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84.7% average  (Monte Carlo, 5,000 simulations per investment)</w:t>
      </w:r>
    </w:p>
    <w:p>
      <w:pPr>
        <w:tabs>
          <w:tab w:val="left" w:pos="4500"/>
        </w:tabs>
        <w:spacing w:after="40" w:before="40"/>
        <w:ind w:left="36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Total Simulations Run:</w:t>
      </w:r>
      <w:r>
        <w:rPr>
          <w:sz w:val="18"/>
          <w:szCs w:val="18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40,000  (8 investments × 5,000 each)</w:t>
      </w:r>
    </w:p>
    <w:p>
      <w:pPr>
        <w:pBdr>
          <w:bottom w:val="single" w:color="2F5496" w:sz="8" w:space="1"/>
        </w:pBdr>
        <w:spacing w:after="120" w:before="120"/>
      </w:pPr>
      <w:r>
        <w:t xml:space="preserve"/>
      </w:r>
    </w:p>
    <w:p>
      <w:pPr>
        <w:shd w:fill="1F3864" w:val="clear"/>
        <w:spacing w:after="80" w:before="80"/>
        <w:ind w:left="80" w:right="8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KEY INSIGHT — WHY NPV RANKING ALONE IS INSUFFICIENT</w:t>
      </w:r>
    </w:p>
    <w:p>
      <w:pPr>
        <w:spacing w:after="80" w:before="0"/>
      </w:pPr>
      <w:r>
        <w:t xml:space="preserve"/>
      </w:r>
    </w:p>
    <w:p>
      <w:pPr>
        <w:spacing w:after="60" w:before="6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Strategic Acquisition carries the highest individual NPV at $197,350 but also the highest risk score of 10.0/10 and the longest payback at 5.2 years. In isolation it looks attractive. In a constrained portfolio, its $1.5M cost consumed 34% of the available budget, which the optimiser validated was still worthwhile given its NPV contribution.</w:t>
      </w:r>
    </w:p>
    <w:p>
      <w:pPr>
        <w:spacing w:after="40" w:before="0"/>
      </w:pPr>
      <w:r>
        <w:t xml:space="preserve"/>
      </w:r>
    </w:p>
    <w:p>
      <w:pPr>
        <w:spacing w:after="60" w:before="6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More instructive is what was left out. Mobile App Investment ($111,297 NPV, risk score 2.78 — the third-safest project) was excluded not because it is a bad investment, but because the $5M constraint was binding. The five included investments together produce $643,640 in NPV, which no other combination of projects within budget can beat. This is only discoverable through exhaustive enumeration — not through ranking.</w:t>
      </w:r>
    </w:p>
    <w:p>
      <w:pPr>
        <w:pBdr>
          <w:bottom w:val="single" w:color="2F5496" w:sz="8" w:space="1"/>
        </w:pBdr>
        <w:spacing w:after="120" w:before="120"/>
      </w:pPr>
      <w:r>
        <w:t xml:space="preserve"/>
      </w:r>
    </w:p>
    <w:p>
      <w:pPr>
        <w:shd w:fill="1F3864" w:val="clear"/>
        <w:spacing w:after="80" w:before="80"/>
        <w:ind w:left="80" w:right="8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KEY RISKS AND MITIGATIONS</w:t>
      </w:r>
    </w:p>
    <w:p>
      <w:pPr>
        <w:spacing w:after="80" w:before="0"/>
      </w:pPr>
      <w:r>
        <w:t xml:space="preserve"/>
      </w:r>
    </w:p>
    <w:p>
      <w:pPr>
        <w:spacing w:after="40" w:before="40"/>
        <w:ind w:left="18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Revenue Shortfall  </w:t>
      </w:r>
      <w:r>
        <w:rPr>
          <w:rFonts w:ascii="Calibri" w:cs="Calibri" w:eastAsia="Calibri" w:hAnsi="Calibri"/>
          <w:sz w:val="18"/>
          <w:szCs w:val="18"/>
        </w:rPr>
        <w:t xml:space="preserve">Sensitivity analysis confirms all 5 included investments maintain positive NPV at -10% revenue. Bear case portfolio NPV: ~$450,548.</w:t>
      </w:r>
    </w:p>
    <w:p>
      <w:pPr>
        <w:spacing w:after="40" w:before="40"/>
        <w:ind w:left="18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Interest Rate Risk  </w:t>
      </w:r>
      <w:r>
        <w:rPr>
          <w:rFonts w:ascii="Calibri" w:cs="Calibri" w:eastAsia="Calibri" w:hAnsi="Calibri"/>
          <w:sz w:val="18"/>
          <w:szCs w:val="18"/>
        </w:rPr>
        <w:t xml:space="preserve">At WACC 12%, 4 of 5 investments remain NPV-positive. Portfolio is largely rate-resilient.</w:t>
      </w:r>
    </w:p>
    <w:p>
      <w:pPr>
        <w:spacing w:after="40" w:before="40"/>
        <w:ind w:left="18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Execution Risk  </w:t>
      </w:r>
      <w:r>
        <w:rPr>
          <w:rFonts w:ascii="Calibri" w:cs="Calibri" w:eastAsia="Calibri" w:hAnsi="Calibri"/>
          <w:sz w:val="18"/>
          <w:szCs w:val="18"/>
        </w:rPr>
        <w:t xml:space="preserve">Geographic Expansion has the weakest IRR at 7.45% and a 4.8-year payback. Recommend quarterly milestone reviews with an exit clause at 18 months.</w:t>
      </w:r>
    </w:p>
    <w:p>
      <w:pPr>
        <w:spacing w:after="40" w:before="40"/>
        <w:ind w:left="18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Concentration Risk  </w:t>
      </w:r>
      <w:r>
        <w:rPr>
          <w:rFonts w:ascii="Calibri" w:cs="Calibri" w:eastAsia="Calibri" w:hAnsi="Calibri"/>
          <w:sz w:val="18"/>
          <w:szCs w:val="18"/>
        </w:rPr>
        <w:t xml:space="preserve">Strategic Acquisition represents 34% of total portfolio cost. Recommend phased funding — 50% upfront, 50% conditional on Q1 KPI milestones.</w:t>
      </w:r>
    </w:p>
    <w:p>
      <w:pPr>
        <w:pBdr>
          <w:bottom w:val="single" w:color="2F5496" w:sz="8" w:space="1"/>
        </w:pBdr>
        <w:spacing w:after="120" w:before="120"/>
      </w:pPr>
      <w:r>
        <w:t xml:space="preserve"/>
      </w:r>
    </w:p>
    <w:p>
      <w:pPr>
        <w:shd w:fill="1F3864" w:val="clear"/>
        <w:spacing w:after="80" w:before="80"/>
        <w:ind w:left="80" w:right="8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SCENARIO OUTCOMES — RECOMMENDED PORTFOLIO</w:t>
      </w:r>
    </w:p>
    <w:p>
      <w:pPr>
        <w:spacing w:after="120" w:before="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300"/>
        <w:gridCol w:w="2800"/>
      </w:tblGrid>
      <w:tr>
        <w:tc>
          <w:tcPr>
            <w:tcW w:type="dxa" w:w="22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18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Revenue Mult</w:t>
            </w:r>
          </w:p>
        </w:tc>
        <w:tc>
          <w:tcPr>
            <w:tcW w:type="dxa" w:w="23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Portfolio NPV</w:t>
            </w:r>
          </w:p>
        </w:tc>
        <w:tc>
          <w:tcPr>
            <w:tcW w:type="dxa" w:w="28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</w:tr>
      <w:tr>
        <w:tc>
          <w:tcPr>
            <w:tcW w:type="dxa" w:w="22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7"/>
                <w:szCs w:val="17"/>
              </w:rPr>
              <w:t xml:space="preserve">Bear</w:t>
            </w:r>
          </w:p>
        </w:tc>
        <w:tc>
          <w:tcPr>
            <w:tcW w:type="dxa" w:w="18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17"/>
                <w:szCs w:val="17"/>
              </w:rPr>
              <w:t xml:space="preserve">-30%</w:t>
            </w:r>
          </w:p>
        </w:tc>
        <w:tc>
          <w:tcPr>
            <w:tcW w:type="dxa" w:w="23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17"/>
                <w:szCs w:val="17"/>
              </w:rPr>
              <w:t xml:space="preserve">$450,548</w:t>
            </w:r>
          </w:p>
        </w:tc>
        <w:tc>
          <w:tcPr>
            <w:tcW w:type="dxa" w:w="28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17"/>
                <w:szCs w:val="17"/>
              </w:rPr>
              <w:t xml:space="preserve">Positive — PROCEED</w:t>
            </w:r>
          </w:p>
        </w:tc>
      </w:tr>
      <w:tr>
        <w:tc>
          <w:tcPr>
            <w:tcW w:type="dxa" w:w="22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5496"/>
                <w:sz w:val="17"/>
                <w:szCs w:val="17"/>
              </w:rPr>
              <w:t xml:space="preserve">Base</w:t>
            </w:r>
          </w:p>
        </w:tc>
        <w:tc>
          <w:tcPr>
            <w:tcW w:type="dxa" w:w="18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0%</w:t>
            </w:r>
          </w:p>
        </w:tc>
        <w:tc>
          <w:tcPr>
            <w:tcW w:type="dxa" w:w="23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17"/>
                <w:szCs w:val="17"/>
              </w:rPr>
              <w:t xml:space="preserve">$643,640</w:t>
            </w:r>
          </w:p>
        </w:tc>
        <w:tc>
          <w:tcPr>
            <w:tcW w:type="dxa" w:w="28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17"/>
                <w:szCs w:val="17"/>
              </w:rPr>
              <w:t xml:space="preserve">Positive — INVEST</w:t>
            </w:r>
          </w:p>
        </w:tc>
      </w:tr>
      <w:tr>
        <w:tc>
          <w:tcPr>
            <w:tcW w:type="dxa" w:w="22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7"/>
                <w:szCs w:val="17"/>
              </w:rPr>
              <w:t xml:space="preserve">Bull</w:t>
            </w:r>
          </w:p>
        </w:tc>
        <w:tc>
          <w:tcPr>
            <w:tcW w:type="dxa" w:w="18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17"/>
                <w:szCs w:val="17"/>
              </w:rPr>
              <w:t xml:space="preserve">+30%</w:t>
            </w:r>
          </w:p>
        </w:tc>
        <w:tc>
          <w:tcPr>
            <w:tcW w:type="dxa" w:w="23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17"/>
                <w:szCs w:val="17"/>
              </w:rPr>
              <w:t xml:space="preserve">$836,732</w:t>
            </w:r>
          </w:p>
        </w:tc>
        <w:tc>
          <w:tcPr>
            <w:tcW w:type="dxa" w:w="2800"/>
            <w:tcBorders>
              <w:top w:val="single" w:color="C9D5EA" w:sz="1"/>
              <w:left w:val="single" w:color="C9D5EA" w:sz="1"/>
              <w:bottom w:val="single" w:color="C9D5EA" w:sz="1"/>
              <w:right w:val="single" w:color="C9D5E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7"/>
                <w:szCs w:val="17"/>
              </w:rPr>
              <w:t xml:space="preserve">Positive — STRONG BUY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 w:line="28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 xml:space="preserve">All three scenarios produce a positive portfolio NPV. The portfolio is robust against revenue shocks and remains viable even under the most pessimistic assumptions tested.</w:t>
      </w:r>
    </w:p>
    <w:p>
      <w:pPr>
        <w:pBdr>
          <w:bottom w:val="single" w:color="2F5496" w:sz="8" w:space="1"/>
        </w:pBdr>
        <w:spacing w:after="120" w:before="120"/>
      </w:pPr>
      <w:r>
        <w:t xml:space="preserve"/>
      </w:r>
    </w:p>
    <w:p>
      <w:pPr>
        <w:shd w:fill="1F3864" w:val="clear"/>
        <w:spacing w:after="80" w:before="80"/>
        <w:ind w:left="80" w:right="8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NEXT STEPS</w:t>
      </w:r>
    </w:p>
    <w:p>
      <w:pPr>
        <w:spacing w:after="80" w:before="0"/>
      </w:pPr>
      <w:r>
        <w:t xml:space="preserve"/>
      </w:r>
    </w:p>
    <w:p>
      <w:pPr>
        <w:tabs>
          <w:tab w:val="left" w:pos="360"/>
        </w:tabs>
        <w:spacing w:after="40" w:before="40"/>
        <w:ind w:left="360" w:hanging="360"/>
      </w:pPr>
      <w:r>
        <w:rPr>
          <w:rFonts w:ascii="Calibri" w:cs="Calibri" w:eastAsia="Calibri" w:hAnsi="Calibri"/>
          <w:b/>
          <w:bCs/>
          <w:color w:val="2F5496"/>
          <w:sz w:val="18"/>
          <w:szCs w:val="18"/>
        </w:rPr>
        <w:t xml:space="preserve">1.</w:t>
      </w:r>
      <w:r>
        <w:rPr>
          <w:sz w:val="18"/>
          <w:szCs w:val="18"/>
        </w:rPr>
        <w:t xml:space="preserve">	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Board approval of $4.4M portfolio — Target: 30 June 2026</w:t>
      </w:r>
    </w:p>
    <w:p>
      <w:pPr>
        <w:tabs>
          <w:tab w:val="left" w:pos="360"/>
        </w:tabs>
        <w:spacing w:after="40" w:before="40"/>
        <w:ind w:left="360" w:hanging="360"/>
      </w:pPr>
      <w:r>
        <w:rPr>
          <w:rFonts w:ascii="Calibri" w:cs="Calibri" w:eastAsia="Calibri" w:hAnsi="Calibri"/>
          <w:b/>
          <w:bCs/>
          <w:color w:val="2F5496"/>
          <w:sz w:val="18"/>
          <w:szCs w:val="18"/>
        </w:rPr>
        <w:t xml:space="preserve">2.</w:t>
      </w:r>
      <w:r>
        <w:rPr>
          <w:sz w:val="18"/>
          <w:szCs w:val="18"/>
        </w:rPr>
        <w:t xml:space="preserve">	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Q3 2026: Simultaneous project kickoff for all 5 funded investments</w:t>
      </w:r>
    </w:p>
    <w:p>
      <w:pPr>
        <w:tabs>
          <w:tab w:val="left" w:pos="360"/>
        </w:tabs>
        <w:spacing w:after="40" w:before="40"/>
        <w:ind w:left="360" w:hanging="360"/>
      </w:pPr>
      <w:r>
        <w:rPr>
          <w:rFonts w:ascii="Calibri" w:cs="Calibri" w:eastAsia="Calibri" w:hAnsi="Calibri"/>
          <w:b/>
          <w:bCs/>
          <w:color w:val="2F5496"/>
          <w:sz w:val="18"/>
          <w:szCs w:val="18"/>
        </w:rPr>
        <w:t xml:space="preserve">3.</w:t>
      </w:r>
      <w:r>
        <w:rPr>
          <w:sz w:val="18"/>
          <w:szCs w:val="18"/>
        </w:rPr>
        <w:t xml:space="preserve">	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Q4 2026: 90-day post-commitment review — actual vs projected KPIs</w:t>
      </w:r>
    </w:p>
    <w:p>
      <w:pPr>
        <w:tabs>
          <w:tab w:val="left" w:pos="360"/>
        </w:tabs>
        <w:spacing w:after="40" w:before="40"/>
        <w:ind w:left="360" w:hanging="360"/>
      </w:pPr>
      <w:r>
        <w:rPr>
          <w:rFonts w:ascii="Calibri" w:cs="Calibri" w:eastAsia="Calibri" w:hAnsi="Calibri"/>
          <w:b/>
          <w:bCs/>
          <w:color w:val="2F5496"/>
          <w:sz w:val="18"/>
          <w:szCs w:val="18"/>
        </w:rPr>
        <w:t xml:space="preserve">4.</w:t>
      </w:r>
      <w:r>
        <w:rPr>
          <w:sz w:val="18"/>
          <w:szCs w:val="18"/>
        </w:rPr>
        <w:t xml:space="preserve">	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Q1 2027: Mid-year reforecast — reassess deferred investments against updated market conditions</w:t>
      </w:r>
    </w:p>
    <w:p>
      <w:pPr>
        <w:tabs>
          <w:tab w:val="left" w:pos="360"/>
        </w:tabs>
        <w:spacing w:after="40" w:before="40"/>
        <w:ind w:left="360" w:hanging="360"/>
      </w:pPr>
      <w:r>
        <w:rPr>
          <w:rFonts w:ascii="Calibri" w:cs="Calibri" w:eastAsia="Calibri" w:hAnsi="Calibri"/>
          <w:b/>
          <w:bCs/>
          <w:color w:val="2F5496"/>
          <w:sz w:val="18"/>
          <w:szCs w:val="18"/>
        </w:rPr>
        <w:t xml:space="preserve">5.</w:t>
      </w:r>
      <w:r>
        <w:rPr>
          <w:sz w:val="18"/>
          <w:szCs w:val="18"/>
        </w:rPr>
        <w:t xml:space="preserve">	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Ongoing: Monthly KPI tracking via Power BI Capital Allocation Dashboard</w:t>
      </w:r>
    </w:p>
    <w:p>
      <w:pPr>
        <w:tabs>
          <w:tab w:val="left" w:pos="360"/>
        </w:tabs>
        <w:spacing w:after="40" w:before="40"/>
        <w:ind w:left="360" w:hanging="360"/>
      </w:pPr>
      <w:r>
        <w:rPr>
          <w:rFonts w:ascii="Calibri" w:cs="Calibri" w:eastAsia="Calibri" w:hAnsi="Calibri"/>
          <w:b/>
          <w:bCs/>
          <w:color w:val="2F5496"/>
          <w:sz w:val="18"/>
          <w:szCs w:val="18"/>
        </w:rPr>
        <w:t xml:space="preserve">6.</w:t>
      </w:r>
      <w:r>
        <w:rPr>
          <w:sz w:val="18"/>
          <w:szCs w:val="18"/>
        </w:rPr>
        <w:t xml:space="preserve">	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FY2027 Budget: Mobile App Investment ($111K NPV, risk 2.78/10) flagged as first-priority addition</w:t>
      </w:r>
    </w:p>
    <w:p>
      <w:pPr>
        <w:pBdr>
          <w:bottom w:val="single" w:color="2F5496" w:sz="8" w:space="1"/>
        </w:pBdr>
        <w:spacing w:after="120" w:before="120"/>
      </w:pPr>
      <w:r>
        <w:t xml:space="preserve"/>
      </w:r>
    </w:p>
    <w:p>
      <w:pPr>
        <w:shd w:fill="1F3864" w:val="clear"/>
        <w:spacing w:after="80" w:before="80"/>
        <w:ind w:left="80" w:right="8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METHODOLOGY</w:t>
      </w:r>
    </w:p>
    <w:p>
      <w:pPr>
        <w:spacing w:after="80" w:before="0"/>
      </w:pPr>
      <w:r>
        <w:t xml:space="preserve"/>
      </w:r>
    </w:p>
    <w:p>
      <w:pPr>
        <w:spacing w:after="60" w:before="6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Excel DCF model (12 tabs)  ·  SQL database (3 tables, 7 queries)  ·  Python Script 1: DCF + Advanced KPIs  ·  Python Script 2: Monte Carlo 40,000 simulations  ·  Python Script 3: Composite Risk Score (40% Volatility + 30% Capital + 30% Payback)  ·  Python Script 4: Brute-Force Portfolio Optimiser (255 combinations)  ·  Power BI: 5-page interactive executive dashboard</w:t>
      </w:r>
    </w:p>
    <w:sectPr>
      <w:headerReference w:type="default" r:id="rId7"/>
      <w:footerReference w:type="default" r:id="rId8"/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F5496" w:sz="4" w:space="1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595959"/>
        <w:sz w:val="16"/>
        <w:szCs w:val="16"/>
      </w:rPr>
      <w:t xml:space="preserve">Prepared by: Srushti Mahant Pawar | Strategic Finance Analyst | RetailCo</w:t>
    </w:r>
    <w:r>
      <w:rPr>
        <w:sz w:val="16"/>
        <w:szCs w:val="16"/>
      </w:rPr>
      <w:t xml:space="preserve">	</w:t>
    </w:r>
    <w:r>
      <w:rPr>
        <w:rFonts w:ascii="Calibri" w:cs="Calibri" w:eastAsia="Calibri" w:hAnsi="Calibri"/>
        <w:color w:val="595959"/>
        <w:sz w:val="16"/>
        <w:szCs w:val="16"/>
      </w:rPr>
      <w:t xml:space="preserve">FY2024 Capital Allocation Memo | 10-Jun-2026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496" w:sz="4" w:space="1"/>
      </w:pBdr>
      <w:tabs>
        <w:tab w:val="right" w:pos="9360"/>
      </w:tabs>
      <w:spacing w:after="60"/>
    </w:pPr>
    <w:r>
      <w:rPr>
        <w:rFonts w:ascii="Calibri" w:cs="Calibri" w:eastAsia="Calibri" w:hAnsi="Calibri"/>
        <w:color w:val="595959"/>
        <w:sz w:val="16"/>
        <w:szCs w:val="16"/>
      </w:rPr>
      <w:t xml:space="preserve">RetailCo — Strategic Finance Division</w:t>
    </w:r>
    <w:r>
      <w:rPr>
        <w:sz w:val="16"/>
        <w:szCs w:val="16"/>
      </w:rPr>
      <w:t xml:space="preserve">	</w:t>
    </w:r>
    <w:r>
      <w:rPr>
        <w:rFonts w:ascii="Calibri" w:cs="Calibri" w:eastAsia="Calibri" w:hAnsi="Calibri"/>
        <w:b/>
        <w:bCs/>
        <w:color w:val="C00000"/>
        <w:sz w:val="16"/>
        <w:szCs w:val="16"/>
      </w:rPr>
      <w:t xml:space="preserve">CONFIDENTIAL — BOARD REVIEW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2026-06-10T09:53:27.964Z</dcterms:created>
  <dcterms:modified xsi:type="dcterms:W3CDTF">2026-06-10T09:53:27.975Z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