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80A97" w14:textId="0057C75E" w:rsidR="00336123" w:rsidRPr="001766D3" w:rsidRDefault="003B4586" w:rsidP="001766D3">
      <w:pPr>
        <w:pBdr>
          <w:bottom w:val="single" w:sz="12" w:space="1" w:color="185A8C"/>
        </w:pBdr>
        <w:jc w:val="center"/>
        <w:rPr>
          <w:rFonts w:ascii="Cambria" w:hAnsi="Cambria" w:cs="Times New Roman (Body CS)"/>
          <w:smallCaps/>
          <w:spacing w:val="16"/>
          <w:sz w:val="28"/>
          <w:szCs w:val="26"/>
        </w:rPr>
      </w:pPr>
      <w:r w:rsidRPr="00A25F46">
        <w:rPr>
          <w:rFonts w:ascii="Cambria" w:hAnsi="Cambria" w:cs="Times New Roman (Body CS)"/>
          <w:smallCaps/>
          <w:spacing w:val="16"/>
          <w:sz w:val="28"/>
          <w:szCs w:val="26"/>
        </w:rPr>
        <w:t>Reference Class Forecasting and Machine Learning for Offshore Oil &amp; Gas megaproject planning: Methods</w:t>
      </w:r>
      <w:r w:rsidR="00A36C5B" w:rsidRPr="00A25F46">
        <w:rPr>
          <w:rFonts w:ascii="Cambria" w:hAnsi="Cambria" w:cs="Times New Roman (Body CS)"/>
          <w:smallCaps/>
          <w:spacing w:val="16"/>
          <w:sz w:val="28"/>
          <w:szCs w:val="26"/>
        </w:rPr>
        <w:t xml:space="preserve">, </w:t>
      </w:r>
      <w:r w:rsidRPr="00A25F46">
        <w:rPr>
          <w:rFonts w:ascii="Cambria" w:hAnsi="Cambria" w:cs="Times New Roman (Body CS)"/>
          <w:smallCaps/>
          <w:spacing w:val="16"/>
          <w:sz w:val="28"/>
          <w:szCs w:val="26"/>
        </w:rPr>
        <w:t>Application</w:t>
      </w:r>
      <w:r w:rsidR="002377DF">
        <w:rPr>
          <w:rFonts w:ascii="Cambria" w:hAnsi="Cambria" w:cs="Times New Roman (Body CS)"/>
          <w:smallCaps/>
          <w:spacing w:val="16"/>
          <w:sz w:val="28"/>
          <w:szCs w:val="26"/>
        </w:rPr>
        <w:t>,</w:t>
      </w:r>
      <w:r w:rsidR="00F44408" w:rsidRPr="00A25F46">
        <w:rPr>
          <w:rFonts w:ascii="Cambria" w:hAnsi="Cambria" w:cs="Times New Roman (Body CS)"/>
          <w:smallCaps/>
          <w:spacing w:val="16"/>
          <w:sz w:val="28"/>
          <w:szCs w:val="26"/>
        </w:rPr>
        <w:t xml:space="preserve"> </w:t>
      </w:r>
      <w:r w:rsidR="00A25F46" w:rsidRPr="00A25F46">
        <w:rPr>
          <w:rFonts w:ascii="Cambria" w:hAnsi="Cambria" w:cs="Times New Roman (Body CS)"/>
          <w:smallCaps/>
          <w:spacing w:val="16"/>
          <w:sz w:val="28"/>
          <w:szCs w:val="26"/>
        </w:rPr>
        <w:t>and</w:t>
      </w:r>
      <w:r w:rsidR="00A36C5B" w:rsidRPr="00A25F46">
        <w:rPr>
          <w:rFonts w:ascii="Cambria" w:hAnsi="Cambria" w:cs="Times New Roman (Body CS)"/>
          <w:smallCaps/>
          <w:spacing w:val="16"/>
          <w:sz w:val="28"/>
          <w:szCs w:val="26"/>
        </w:rPr>
        <w:t xml:space="preserve"> Interpretation</w:t>
      </w:r>
    </w:p>
    <w:p w14:paraId="01BB7DE3" w14:textId="42265B49" w:rsidR="00EF7099" w:rsidRDefault="00801A35" w:rsidP="00E176B6">
      <w:pPr>
        <w:rPr>
          <w:rFonts w:ascii="Garamond" w:hAnsi="Garamond"/>
        </w:rPr>
      </w:pPr>
      <w:r w:rsidRPr="001766D3">
        <w:rPr>
          <w:rFonts w:ascii="Garamond" w:hAnsi="Garamond"/>
        </w:rPr>
        <w:t xml:space="preserve">This </w:t>
      </w:r>
      <w:r w:rsidR="00CC1B81" w:rsidRPr="001766D3">
        <w:rPr>
          <w:rFonts w:ascii="Garamond" w:hAnsi="Garamond"/>
        </w:rPr>
        <w:t xml:space="preserve">dissertation will study </w:t>
      </w:r>
      <w:r w:rsidR="001D4067" w:rsidRPr="001766D3">
        <w:rPr>
          <w:rFonts w:ascii="Garamond" w:hAnsi="Garamond"/>
        </w:rPr>
        <w:t xml:space="preserve">methods </w:t>
      </w:r>
      <w:r w:rsidR="00E77462" w:rsidRPr="001766D3">
        <w:rPr>
          <w:rFonts w:ascii="Garamond" w:hAnsi="Garamond"/>
        </w:rPr>
        <w:t xml:space="preserve">to improve the accuracy of within-project forecasts of cost and schedule </w:t>
      </w:r>
      <w:r w:rsidR="00E06CBB" w:rsidRPr="001766D3">
        <w:rPr>
          <w:rFonts w:ascii="Garamond" w:hAnsi="Garamond"/>
        </w:rPr>
        <w:t>using empirical</w:t>
      </w:r>
      <w:r w:rsidR="00DF2075" w:rsidRPr="001766D3">
        <w:rPr>
          <w:rFonts w:ascii="Garamond" w:hAnsi="Garamond"/>
        </w:rPr>
        <w:t xml:space="preserve"> benchmarking</w:t>
      </w:r>
      <w:r w:rsidR="00E06CBB" w:rsidRPr="001766D3">
        <w:rPr>
          <w:rFonts w:ascii="Garamond" w:hAnsi="Garamond"/>
        </w:rPr>
        <w:t xml:space="preserve"> data </w:t>
      </w:r>
      <w:r w:rsidR="001D4067" w:rsidRPr="001766D3">
        <w:rPr>
          <w:rFonts w:ascii="Garamond" w:hAnsi="Garamond"/>
        </w:rPr>
        <w:t>from</w:t>
      </w:r>
      <w:r w:rsidR="00E77462" w:rsidRPr="001766D3">
        <w:rPr>
          <w:rFonts w:ascii="Garamond" w:hAnsi="Garamond"/>
        </w:rPr>
        <w:t xml:space="preserve"> similar projects. </w:t>
      </w:r>
      <w:r w:rsidR="00A25F46" w:rsidRPr="001766D3">
        <w:rPr>
          <w:rFonts w:ascii="Garamond" w:hAnsi="Garamond"/>
        </w:rPr>
        <w:t>Reference Class Forecasting (RCF) will be used for this purpose and the potential for adapting Machine Learning (ML) to RCF will be demonstrated by application. Furthermore, the results from the research will be interpreted both for relative performance and for deriving hypotheses regarding the effect of broader underlying behavioral, cognitive and sensemaking issues. The</w:t>
      </w:r>
      <w:r w:rsidR="00CB254F" w:rsidRPr="001766D3">
        <w:rPr>
          <w:rFonts w:ascii="Garamond" w:hAnsi="Garamond"/>
        </w:rPr>
        <w:t xml:space="preserve"> results will also be used to discuss the</w:t>
      </w:r>
      <w:r w:rsidR="00A25F46" w:rsidRPr="001766D3">
        <w:rPr>
          <w:rFonts w:ascii="Garamond" w:hAnsi="Garamond"/>
        </w:rPr>
        <w:t xml:space="preserve"> potential for ML to bridge the gap between the two distinct approaches </w:t>
      </w:r>
      <w:r w:rsidR="00CB254F" w:rsidRPr="001766D3">
        <w:rPr>
          <w:rFonts w:ascii="Garamond" w:hAnsi="Garamond"/>
        </w:rPr>
        <w:t>to</w:t>
      </w:r>
      <w:r w:rsidR="00A25F46" w:rsidRPr="001766D3">
        <w:rPr>
          <w:rFonts w:ascii="Garamond" w:hAnsi="Garamond"/>
        </w:rPr>
        <w:t xml:space="preserve"> </w:t>
      </w:r>
      <w:r w:rsidR="00CB254F" w:rsidRPr="001766D3">
        <w:rPr>
          <w:rFonts w:ascii="Garamond" w:hAnsi="Garamond"/>
        </w:rPr>
        <w:t xml:space="preserve">characterize heuristics for decision-making in complex projects, one of which emphasizes </w:t>
      </w:r>
      <w:r w:rsidR="00A25F46" w:rsidRPr="001766D3">
        <w:rPr>
          <w:rFonts w:ascii="Garamond" w:hAnsi="Garamond"/>
        </w:rPr>
        <w:t xml:space="preserve">cognitive limitations </w:t>
      </w:r>
      <w:r w:rsidR="00CB254F" w:rsidRPr="001766D3">
        <w:rPr>
          <w:rFonts w:ascii="Garamond" w:hAnsi="Garamond"/>
        </w:rPr>
        <w:t>from</w:t>
      </w:r>
      <w:r w:rsidR="00A25F46" w:rsidRPr="001766D3">
        <w:rPr>
          <w:rFonts w:ascii="Garamond" w:hAnsi="Garamond"/>
        </w:rPr>
        <w:t xml:space="preserve"> heuristics and biases, and the </w:t>
      </w:r>
      <w:r w:rsidR="00CB254F" w:rsidRPr="001766D3">
        <w:rPr>
          <w:rFonts w:ascii="Garamond" w:hAnsi="Garamond"/>
        </w:rPr>
        <w:t xml:space="preserve">other which </w:t>
      </w:r>
      <w:r w:rsidR="00A25F46" w:rsidRPr="001766D3">
        <w:rPr>
          <w:rFonts w:ascii="Garamond" w:hAnsi="Garamond"/>
        </w:rPr>
        <w:t>importance of these heuristics.</w:t>
      </w:r>
      <w:r w:rsidR="00CB254F" w:rsidRPr="001766D3">
        <w:rPr>
          <w:rFonts w:ascii="Garamond" w:hAnsi="Garamond"/>
        </w:rPr>
        <w:t xml:space="preserve"> The </w:t>
      </w:r>
      <w:r w:rsidR="00E77462" w:rsidRPr="001766D3">
        <w:rPr>
          <w:rFonts w:ascii="Garamond" w:hAnsi="Garamond"/>
        </w:rPr>
        <w:t xml:space="preserve">focus </w:t>
      </w:r>
      <w:r w:rsidR="00CB254F" w:rsidRPr="001766D3">
        <w:rPr>
          <w:rFonts w:ascii="Garamond" w:hAnsi="Garamond"/>
        </w:rPr>
        <w:t xml:space="preserve">will be </w:t>
      </w:r>
      <w:r w:rsidR="00E77462" w:rsidRPr="001766D3">
        <w:rPr>
          <w:rFonts w:ascii="Garamond" w:hAnsi="Garamond"/>
        </w:rPr>
        <w:t>on</w:t>
      </w:r>
      <w:r w:rsidR="00131B53" w:rsidRPr="001766D3">
        <w:rPr>
          <w:rFonts w:ascii="Garamond" w:hAnsi="Garamond"/>
        </w:rPr>
        <w:t xml:space="preserve"> the prediction of Oil &amp; Gas (O&amp;G) Offshore megaproject</w:t>
      </w:r>
      <w:r w:rsidR="00C455AA" w:rsidRPr="001766D3">
        <w:rPr>
          <w:rFonts w:ascii="Garamond" w:hAnsi="Garamond"/>
        </w:rPr>
        <w:t xml:space="preserve"> performance. These</w:t>
      </w:r>
      <w:r w:rsidR="00734076" w:rsidRPr="001766D3">
        <w:rPr>
          <w:rFonts w:ascii="Garamond" w:hAnsi="Garamond"/>
        </w:rPr>
        <w:t xml:space="preserve"> </w:t>
      </w:r>
      <w:r w:rsidR="00C455AA" w:rsidRPr="001766D3">
        <w:rPr>
          <w:rFonts w:ascii="Garamond" w:hAnsi="Garamond"/>
        </w:rPr>
        <w:t>projects</w:t>
      </w:r>
      <w:r w:rsidR="00734076" w:rsidRPr="001766D3">
        <w:rPr>
          <w:rFonts w:ascii="Garamond" w:hAnsi="Garamond"/>
        </w:rPr>
        <w:t xml:space="preserve"> </w:t>
      </w:r>
      <w:r w:rsidR="00B57DD1" w:rsidRPr="001766D3">
        <w:rPr>
          <w:rFonts w:ascii="Garamond" w:hAnsi="Garamond"/>
        </w:rPr>
        <w:t>have a</w:t>
      </w:r>
      <w:r w:rsidR="00920FC0" w:rsidRPr="001766D3">
        <w:rPr>
          <w:rFonts w:ascii="Garamond" w:hAnsi="Garamond"/>
        </w:rPr>
        <w:t xml:space="preserve"> track record of underperformance on measures of schedule, cost and benefits (Merrow, 2012). While </w:t>
      </w:r>
      <w:r w:rsidR="00C455AA" w:rsidRPr="001766D3">
        <w:rPr>
          <w:rFonts w:ascii="Garamond" w:hAnsi="Garamond"/>
        </w:rPr>
        <w:t>they</w:t>
      </w:r>
      <w:r w:rsidR="00920FC0" w:rsidRPr="001766D3">
        <w:rPr>
          <w:rFonts w:ascii="Garamond" w:hAnsi="Garamond"/>
        </w:rPr>
        <w:t xml:space="preserve"> have accounted for investments </w:t>
      </w:r>
      <w:r w:rsidR="00131B53" w:rsidRPr="001766D3">
        <w:rPr>
          <w:rFonts w:ascii="Garamond" w:hAnsi="Garamond"/>
        </w:rPr>
        <w:t>amounting to</w:t>
      </w:r>
      <w:r w:rsidR="00920FC0" w:rsidRPr="001766D3">
        <w:rPr>
          <w:rFonts w:ascii="Garamond" w:hAnsi="Garamond"/>
        </w:rPr>
        <w:t xml:space="preserve"> several hundred billion US</w:t>
      </w:r>
      <w:r w:rsidR="00131B53" w:rsidRPr="001766D3">
        <w:rPr>
          <w:rFonts w:ascii="Garamond" w:hAnsi="Garamond"/>
        </w:rPr>
        <w:t>$</w:t>
      </w:r>
      <w:r w:rsidR="00920FC0" w:rsidRPr="001766D3">
        <w:rPr>
          <w:rFonts w:ascii="Garamond" w:hAnsi="Garamond"/>
        </w:rPr>
        <w:t xml:space="preserve"> per year and underpin critical global energy supply, studies of the causes for</w:t>
      </w:r>
      <w:r w:rsidR="00C455AA" w:rsidRPr="001766D3">
        <w:rPr>
          <w:rFonts w:ascii="Garamond" w:hAnsi="Garamond"/>
        </w:rPr>
        <w:t xml:space="preserve"> their</w:t>
      </w:r>
      <w:r w:rsidR="00920FC0" w:rsidRPr="001766D3">
        <w:rPr>
          <w:rFonts w:ascii="Garamond" w:hAnsi="Garamond"/>
        </w:rPr>
        <w:t xml:space="preserve"> underperformance are relatively scant (Rui, et al., 2017). </w:t>
      </w:r>
    </w:p>
    <w:p w14:paraId="10D90B97" w14:textId="6AAA9677" w:rsidR="003438EA" w:rsidRPr="001766D3" w:rsidRDefault="008D5846" w:rsidP="0078522B">
      <w:pPr>
        <w:rPr>
          <w:rFonts w:ascii="Garamond" w:hAnsi="Garamond"/>
        </w:rPr>
      </w:pPr>
      <w:r w:rsidRPr="001766D3">
        <w:rPr>
          <w:rFonts w:ascii="Garamond" w:hAnsi="Garamond"/>
        </w:rPr>
        <w:t>Th</w:t>
      </w:r>
      <w:r w:rsidR="001766D3" w:rsidRPr="001766D3">
        <w:rPr>
          <w:rFonts w:ascii="Garamond" w:hAnsi="Garamond"/>
        </w:rPr>
        <w:t>is</w:t>
      </w:r>
      <w:r w:rsidRPr="001766D3">
        <w:rPr>
          <w:rFonts w:ascii="Garamond" w:hAnsi="Garamond"/>
        </w:rPr>
        <w:t xml:space="preserve"> </w:t>
      </w:r>
      <w:r w:rsidR="001766D3" w:rsidRPr="001766D3">
        <w:rPr>
          <w:rFonts w:ascii="Garamond" w:hAnsi="Garamond"/>
        </w:rPr>
        <w:t>research</w:t>
      </w:r>
      <w:r w:rsidRPr="001766D3">
        <w:rPr>
          <w:rFonts w:ascii="Garamond" w:hAnsi="Garamond"/>
        </w:rPr>
        <w:t xml:space="preserve"> will </w:t>
      </w:r>
      <w:r w:rsidR="00EF7099" w:rsidRPr="001766D3">
        <w:rPr>
          <w:rFonts w:ascii="Garamond" w:hAnsi="Garamond"/>
        </w:rPr>
        <w:t>build</w:t>
      </w:r>
      <w:r w:rsidRPr="001766D3">
        <w:rPr>
          <w:rFonts w:ascii="Garamond" w:hAnsi="Garamond"/>
        </w:rPr>
        <w:t xml:space="preserve"> </w:t>
      </w:r>
      <w:r w:rsidR="00EF7099" w:rsidRPr="001766D3">
        <w:rPr>
          <w:rFonts w:ascii="Garamond" w:hAnsi="Garamond"/>
        </w:rPr>
        <w:t xml:space="preserve">on the work </w:t>
      </w:r>
      <w:r w:rsidR="005055A1" w:rsidRPr="001766D3">
        <w:rPr>
          <w:rFonts w:ascii="Garamond" w:hAnsi="Garamond"/>
        </w:rPr>
        <w:t>of</w:t>
      </w:r>
      <w:r w:rsidR="00EF7099" w:rsidRPr="001766D3">
        <w:rPr>
          <w:rFonts w:ascii="Garamond" w:hAnsi="Garamond"/>
        </w:rPr>
        <w:t xml:space="preserve"> Prof. Flyvbjerg </w:t>
      </w:r>
      <w:sdt>
        <w:sdtPr>
          <w:rPr>
            <w:rFonts w:ascii="Garamond" w:hAnsi="Garamond"/>
          </w:rPr>
          <w:id w:val="-147289483"/>
          <w:citation/>
        </w:sdtPr>
        <w:sdtEndPr/>
        <w:sdtContent>
          <w:r w:rsidR="00E41623" w:rsidRPr="001766D3">
            <w:rPr>
              <w:rFonts w:ascii="Garamond" w:hAnsi="Garamond"/>
            </w:rPr>
            <w:fldChar w:fldCharType="begin"/>
          </w:r>
          <w:r w:rsidR="00E41623" w:rsidRPr="001766D3">
            <w:rPr>
              <w:rFonts w:ascii="Garamond" w:hAnsi="Garamond"/>
            </w:rPr>
            <w:instrText xml:space="preserve"> CITATION Fly06 \l 1033 </w:instrText>
          </w:r>
          <w:r w:rsidR="00E41623" w:rsidRPr="001766D3">
            <w:rPr>
              <w:rFonts w:ascii="Garamond" w:hAnsi="Garamond"/>
            </w:rPr>
            <w:fldChar w:fldCharType="separate"/>
          </w:r>
          <w:r w:rsidR="00E41623" w:rsidRPr="001766D3">
            <w:rPr>
              <w:rFonts w:ascii="Garamond" w:hAnsi="Garamond"/>
            </w:rPr>
            <w:t>(Flyvbjerg, 2006)</w:t>
          </w:r>
          <w:r w:rsidR="00E41623" w:rsidRPr="001766D3">
            <w:rPr>
              <w:rFonts w:ascii="Garamond" w:hAnsi="Garamond"/>
            </w:rPr>
            <w:fldChar w:fldCharType="end"/>
          </w:r>
        </w:sdtContent>
      </w:sdt>
      <w:r w:rsidR="00B57DD1" w:rsidRPr="001766D3">
        <w:rPr>
          <w:rFonts w:ascii="Garamond" w:hAnsi="Garamond"/>
        </w:rPr>
        <w:t xml:space="preserve">, </w:t>
      </w:r>
      <w:r w:rsidR="00EF7099" w:rsidRPr="001766D3">
        <w:rPr>
          <w:rFonts w:ascii="Garamond" w:hAnsi="Garamond"/>
        </w:rPr>
        <w:t xml:space="preserve">who adapted </w:t>
      </w:r>
      <w:r w:rsidR="00B57DD1" w:rsidRPr="001766D3">
        <w:rPr>
          <w:rFonts w:ascii="Garamond" w:hAnsi="Garamond"/>
        </w:rPr>
        <w:t>Kahneman &amp; Tversky’s (1979)</w:t>
      </w:r>
      <w:r w:rsidR="00EF7099" w:rsidRPr="001766D3">
        <w:rPr>
          <w:rFonts w:ascii="Garamond" w:hAnsi="Garamond"/>
        </w:rPr>
        <w:t xml:space="preserve"> “outside view” approach to project planning as Reference Class Forecasting. The outside view approach recommends the use of the “distribution of outcomes under similar situations” for </w:t>
      </w:r>
      <w:r w:rsidR="0097159C" w:rsidRPr="001766D3">
        <w:rPr>
          <w:rFonts w:ascii="Garamond" w:hAnsi="Garamond"/>
        </w:rPr>
        <w:t>forecasting</w:t>
      </w:r>
      <w:r w:rsidR="00EF7099" w:rsidRPr="001766D3">
        <w:rPr>
          <w:rFonts w:ascii="Garamond" w:hAnsi="Garamond"/>
        </w:rPr>
        <w:t xml:space="preserve">. </w:t>
      </w:r>
      <w:r w:rsidR="006D1266" w:rsidRPr="001766D3">
        <w:rPr>
          <w:rFonts w:ascii="Garamond" w:hAnsi="Garamond"/>
        </w:rPr>
        <w:t>This will complement “inside view” forecasting which typically uses DCF, NPV, Mont Carlo simulation</w:t>
      </w:r>
      <w:r w:rsidR="000E785A" w:rsidRPr="001766D3">
        <w:rPr>
          <w:rFonts w:ascii="Garamond" w:hAnsi="Garamond"/>
        </w:rPr>
        <w:t xml:space="preserve"> etc</w:t>
      </w:r>
      <w:r w:rsidR="00131B53" w:rsidRPr="001766D3">
        <w:rPr>
          <w:rFonts w:ascii="Garamond" w:hAnsi="Garamond"/>
        </w:rPr>
        <w:t xml:space="preserve">. </w:t>
      </w:r>
      <w:r w:rsidR="00B57DD1" w:rsidRPr="001766D3">
        <w:rPr>
          <w:rFonts w:ascii="Garamond" w:hAnsi="Garamond"/>
        </w:rPr>
        <w:t>Megaprojects</w:t>
      </w:r>
      <w:r w:rsidR="00131B53" w:rsidRPr="001766D3">
        <w:rPr>
          <w:rFonts w:ascii="Garamond" w:hAnsi="Garamond"/>
        </w:rPr>
        <w:t xml:space="preserve"> are often bespoke endeavors by meta-organizations or independent firms </w:t>
      </w:r>
      <w:r w:rsidR="000E785A" w:rsidRPr="001766D3">
        <w:rPr>
          <w:rFonts w:ascii="Garamond" w:hAnsi="Garamond"/>
        </w:rPr>
        <w:t>connected through</w:t>
      </w:r>
      <w:r w:rsidR="00131B53" w:rsidRPr="001766D3">
        <w:rPr>
          <w:rFonts w:ascii="Garamond" w:hAnsi="Garamond"/>
        </w:rPr>
        <w:t xml:space="preserve"> contractual relationships</w:t>
      </w:r>
      <w:r w:rsidR="000E785A" w:rsidRPr="001766D3">
        <w:rPr>
          <w:rFonts w:ascii="Garamond" w:hAnsi="Garamond"/>
        </w:rPr>
        <w:t xml:space="preserve"> </w:t>
      </w:r>
      <w:sdt>
        <w:sdtPr>
          <w:rPr>
            <w:rFonts w:ascii="Garamond" w:hAnsi="Garamond"/>
          </w:rPr>
          <w:id w:val="-1379386448"/>
          <w:citation/>
        </w:sdtPr>
        <w:sdtEndPr/>
        <w:sdtContent>
          <w:r w:rsidR="000E785A" w:rsidRPr="001766D3">
            <w:rPr>
              <w:rFonts w:ascii="Garamond" w:hAnsi="Garamond"/>
            </w:rPr>
            <w:fldChar w:fldCharType="begin"/>
          </w:r>
          <w:r w:rsidR="000E785A" w:rsidRPr="001766D3">
            <w:rPr>
              <w:rFonts w:ascii="Garamond" w:hAnsi="Garamond"/>
            </w:rPr>
            <w:instrText xml:space="preserve"> CITATION Lun15 \l 1033 </w:instrText>
          </w:r>
          <w:r w:rsidR="000E785A" w:rsidRPr="001766D3">
            <w:rPr>
              <w:rFonts w:ascii="Garamond" w:hAnsi="Garamond"/>
            </w:rPr>
            <w:fldChar w:fldCharType="separate"/>
          </w:r>
          <w:r w:rsidR="000E785A" w:rsidRPr="001766D3">
            <w:rPr>
              <w:rFonts w:ascii="Garamond" w:hAnsi="Garamond"/>
            </w:rPr>
            <w:t>(Lundrigan, et al., 2015)</w:t>
          </w:r>
          <w:r w:rsidR="000E785A" w:rsidRPr="001766D3">
            <w:rPr>
              <w:rFonts w:ascii="Garamond" w:hAnsi="Garamond"/>
            </w:rPr>
            <w:fldChar w:fldCharType="end"/>
          </w:r>
        </w:sdtContent>
      </w:sdt>
      <w:r w:rsidR="00131B53" w:rsidRPr="001766D3">
        <w:rPr>
          <w:rFonts w:ascii="Garamond" w:hAnsi="Garamond"/>
        </w:rPr>
        <w:t>. Usually a JV comp</w:t>
      </w:r>
      <w:r w:rsidR="000D7D13" w:rsidRPr="001766D3">
        <w:rPr>
          <w:rFonts w:ascii="Garamond" w:hAnsi="Garamond"/>
        </w:rPr>
        <w:t>ri</w:t>
      </w:r>
      <w:r w:rsidR="00131B53" w:rsidRPr="001766D3">
        <w:rPr>
          <w:rFonts w:ascii="Garamond" w:hAnsi="Garamond"/>
        </w:rPr>
        <w:t xml:space="preserve">sed of </w:t>
      </w:r>
      <w:r w:rsidR="00B57DD1" w:rsidRPr="001766D3">
        <w:rPr>
          <w:rFonts w:ascii="Garamond" w:hAnsi="Garamond"/>
        </w:rPr>
        <w:t>O&amp;G</w:t>
      </w:r>
      <w:r w:rsidR="00131B53" w:rsidRPr="001766D3">
        <w:rPr>
          <w:rFonts w:ascii="Garamond" w:hAnsi="Garamond"/>
        </w:rPr>
        <w:t xml:space="preserve"> Companies use</w:t>
      </w:r>
      <w:r w:rsidR="000E785A" w:rsidRPr="001766D3">
        <w:rPr>
          <w:rFonts w:ascii="Garamond" w:hAnsi="Garamond"/>
        </w:rPr>
        <w:t>s</w:t>
      </w:r>
      <w:r w:rsidR="00131B53" w:rsidRPr="001766D3">
        <w:rPr>
          <w:rFonts w:ascii="Garamond" w:hAnsi="Garamond"/>
        </w:rPr>
        <w:t xml:space="preserve"> EPC contractors </w:t>
      </w:r>
      <w:r w:rsidR="000E785A" w:rsidRPr="001766D3">
        <w:rPr>
          <w:rFonts w:ascii="Garamond" w:hAnsi="Garamond"/>
        </w:rPr>
        <w:t xml:space="preserve">with specialist subcontractors, vendors etc. </w:t>
      </w:r>
      <w:r w:rsidR="00131B53" w:rsidRPr="001766D3">
        <w:rPr>
          <w:rFonts w:ascii="Garamond" w:hAnsi="Garamond"/>
        </w:rPr>
        <w:t xml:space="preserve">to deliver </w:t>
      </w:r>
      <w:r w:rsidR="00B57DD1" w:rsidRPr="001766D3">
        <w:rPr>
          <w:rFonts w:ascii="Garamond" w:hAnsi="Garamond"/>
        </w:rPr>
        <w:t>an offshore</w:t>
      </w:r>
      <w:r w:rsidR="00131B53" w:rsidRPr="001766D3">
        <w:rPr>
          <w:rFonts w:ascii="Garamond" w:hAnsi="Garamond"/>
        </w:rPr>
        <w:t xml:space="preserve"> project </w:t>
      </w:r>
      <w:sdt>
        <w:sdtPr>
          <w:rPr>
            <w:rFonts w:ascii="Garamond" w:hAnsi="Garamond"/>
          </w:rPr>
          <w:id w:val="-1707861595"/>
          <w:citation/>
        </w:sdtPr>
        <w:sdtEndPr/>
        <w:sdtContent>
          <w:r w:rsidR="00131B53" w:rsidRPr="001766D3">
            <w:rPr>
              <w:rFonts w:ascii="Garamond" w:hAnsi="Garamond"/>
            </w:rPr>
            <w:fldChar w:fldCharType="begin"/>
          </w:r>
          <w:r w:rsidR="00131B53" w:rsidRPr="001766D3">
            <w:rPr>
              <w:rFonts w:ascii="Garamond" w:hAnsi="Garamond"/>
            </w:rPr>
            <w:instrText xml:space="preserve"> CITATION Lee19 \l 1033 </w:instrText>
          </w:r>
          <w:r w:rsidR="00131B53" w:rsidRPr="001766D3">
            <w:rPr>
              <w:rFonts w:ascii="Garamond" w:hAnsi="Garamond"/>
            </w:rPr>
            <w:fldChar w:fldCharType="separate"/>
          </w:r>
          <w:r w:rsidR="00131B53" w:rsidRPr="001766D3">
            <w:rPr>
              <w:rFonts w:ascii="Garamond" w:hAnsi="Garamond"/>
            </w:rPr>
            <w:t>(Lee, 2019)</w:t>
          </w:r>
          <w:r w:rsidR="00131B53" w:rsidRPr="001766D3">
            <w:rPr>
              <w:rFonts w:ascii="Garamond" w:hAnsi="Garamond"/>
            </w:rPr>
            <w:fldChar w:fldCharType="end"/>
          </w:r>
        </w:sdtContent>
      </w:sdt>
      <w:r w:rsidR="00131B53" w:rsidRPr="001766D3">
        <w:rPr>
          <w:rFonts w:ascii="Garamond" w:hAnsi="Garamond"/>
        </w:rPr>
        <w:t xml:space="preserve">. </w:t>
      </w:r>
      <w:r w:rsidR="0097159C" w:rsidRPr="001766D3">
        <w:rPr>
          <w:rFonts w:ascii="Garamond" w:hAnsi="Garamond"/>
        </w:rPr>
        <w:t xml:space="preserve">These challenging projects combine high upfront capital requirements with anticipation of long-term returns in an uncertain complex socio-economic-technical environment. </w:t>
      </w:r>
      <w:r w:rsidR="00D241A1" w:rsidRPr="001766D3">
        <w:rPr>
          <w:rFonts w:ascii="Garamond" w:hAnsi="Garamond"/>
        </w:rPr>
        <w:t>Therefore, accurate c</w:t>
      </w:r>
      <w:r w:rsidR="00131B53" w:rsidRPr="001766D3">
        <w:rPr>
          <w:rFonts w:ascii="Garamond" w:hAnsi="Garamond"/>
        </w:rPr>
        <w:t xml:space="preserve">ost and </w:t>
      </w:r>
      <w:r w:rsidR="00D241A1" w:rsidRPr="001766D3">
        <w:rPr>
          <w:rFonts w:ascii="Garamond" w:hAnsi="Garamond"/>
        </w:rPr>
        <w:t>s</w:t>
      </w:r>
      <w:r w:rsidR="00131B53" w:rsidRPr="001766D3">
        <w:rPr>
          <w:rFonts w:ascii="Garamond" w:hAnsi="Garamond"/>
        </w:rPr>
        <w:t>chedule estimat</w:t>
      </w:r>
      <w:r w:rsidR="00D241A1" w:rsidRPr="001766D3">
        <w:rPr>
          <w:rFonts w:ascii="Garamond" w:hAnsi="Garamond"/>
        </w:rPr>
        <w:t>ion are challenging, especially across</w:t>
      </w:r>
      <w:r w:rsidR="00131B53" w:rsidRPr="001766D3">
        <w:rPr>
          <w:rFonts w:ascii="Garamond" w:hAnsi="Garamond"/>
        </w:rPr>
        <w:t xml:space="preserve"> </w:t>
      </w:r>
      <w:r w:rsidR="00D241A1" w:rsidRPr="001766D3">
        <w:rPr>
          <w:rFonts w:ascii="Garamond" w:hAnsi="Garamond"/>
        </w:rPr>
        <w:t>contractual</w:t>
      </w:r>
      <w:r w:rsidR="00131B53" w:rsidRPr="001766D3">
        <w:rPr>
          <w:rFonts w:ascii="Garamond" w:hAnsi="Garamond"/>
        </w:rPr>
        <w:t xml:space="preserve"> networks</w:t>
      </w:r>
      <w:r w:rsidR="00D241A1" w:rsidRPr="001766D3">
        <w:rPr>
          <w:rFonts w:ascii="Garamond" w:hAnsi="Garamond"/>
        </w:rPr>
        <w:t xml:space="preserve"> with principal-agent conflict being a key governance problem </w:t>
      </w:r>
      <w:sdt>
        <w:sdtPr>
          <w:rPr>
            <w:rFonts w:ascii="Garamond" w:hAnsi="Garamond"/>
          </w:rPr>
          <w:id w:val="586579345"/>
          <w:citation/>
        </w:sdtPr>
        <w:sdtEndPr/>
        <w:sdtContent>
          <w:r w:rsidR="00D241A1" w:rsidRPr="001766D3">
            <w:rPr>
              <w:rFonts w:ascii="Garamond" w:hAnsi="Garamond"/>
            </w:rPr>
            <w:fldChar w:fldCharType="begin"/>
          </w:r>
          <w:r w:rsidR="00D241A1" w:rsidRPr="001766D3">
            <w:rPr>
              <w:rFonts w:ascii="Garamond" w:hAnsi="Garamond"/>
            </w:rPr>
            <w:instrText xml:space="preserve"> CITATION Mül09 \l 1033 </w:instrText>
          </w:r>
          <w:r w:rsidR="00D241A1" w:rsidRPr="001766D3">
            <w:rPr>
              <w:rFonts w:ascii="Garamond" w:hAnsi="Garamond"/>
            </w:rPr>
            <w:fldChar w:fldCharType="separate"/>
          </w:r>
          <w:r w:rsidR="00D241A1" w:rsidRPr="001766D3">
            <w:rPr>
              <w:rFonts w:ascii="Garamond" w:hAnsi="Garamond"/>
            </w:rPr>
            <w:t>(Müller, 2009)</w:t>
          </w:r>
          <w:r w:rsidR="00D241A1" w:rsidRPr="001766D3">
            <w:rPr>
              <w:rFonts w:ascii="Garamond" w:hAnsi="Garamond"/>
            </w:rPr>
            <w:fldChar w:fldCharType="end"/>
          </w:r>
        </w:sdtContent>
      </w:sdt>
      <w:r w:rsidR="00D241A1" w:rsidRPr="001766D3">
        <w:rPr>
          <w:rFonts w:ascii="Garamond" w:hAnsi="Garamond"/>
        </w:rPr>
        <w:t>. Princip</w:t>
      </w:r>
      <w:r w:rsidR="001D4067" w:rsidRPr="001766D3">
        <w:rPr>
          <w:rFonts w:ascii="Garamond" w:hAnsi="Garamond"/>
        </w:rPr>
        <w:t>al</w:t>
      </w:r>
      <w:r w:rsidR="00D241A1" w:rsidRPr="001766D3">
        <w:rPr>
          <w:rFonts w:ascii="Garamond" w:hAnsi="Garamond"/>
        </w:rPr>
        <w:t>-agent issues, o</w:t>
      </w:r>
      <w:r w:rsidR="00131B53" w:rsidRPr="001766D3">
        <w:rPr>
          <w:rFonts w:ascii="Garamond" w:hAnsi="Garamond"/>
        </w:rPr>
        <w:t xml:space="preserve">ptimism and behavioral biases </w:t>
      </w:r>
      <w:r w:rsidR="009114B3" w:rsidRPr="001766D3">
        <w:rPr>
          <w:rFonts w:ascii="Garamond" w:hAnsi="Garamond"/>
        </w:rPr>
        <w:t>often</w:t>
      </w:r>
      <w:r w:rsidR="00131B53" w:rsidRPr="001766D3">
        <w:rPr>
          <w:rFonts w:ascii="Garamond" w:hAnsi="Garamond"/>
        </w:rPr>
        <w:t xml:space="preserve"> result in </w:t>
      </w:r>
      <w:r w:rsidR="001D4067" w:rsidRPr="001766D3">
        <w:rPr>
          <w:rFonts w:ascii="Garamond" w:hAnsi="Garamond"/>
        </w:rPr>
        <w:t>significant</w:t>
      </w:r>
      <w:r w:rsidR="00131B53" w:rsidRPr="001766D3">
        <w:rPr>
          <w:rFonts w:ascii="Garamond" w:hAnsi="Garamond"/>
        </w:rPr>
        <w:t xml:space="preserve"> inside view underestimation</w:t>
      </w:r>
      <w:r w:rsidR="009114B3" w:rsidRPr="001766D3">
        <w:rPr>
          <w:rFonts w:ascii="Garamond" w:hAnsi="Garamond"/>
        </w:rPr>
        <w:t>s</w:t>
      </w:r>
      <w:r w:rsidR="00131B53" w:rsidRPr="001766D3">
        <w:rPr>
          <w:rFonts w:ascii="Garamond" w:hAnsi="Garamond"/>
        </w:rPr>
        <w:t xml:space="preserve"> of project costs and schedule  </w:t>
      </w:r>
      <w:sdt>
        <w:sdtPr>
          <w:rPr>
            <w:rFonts w:ascii="Garamond" w:hAnsi="Garamond"/>
          </w:rPr>
          <w:id w:val="253404413"/>
          <w:citation/>
        </w:sdtPr>
        <w:sdtEndPr/>
        <w:sdtContent>
          <w:r w:rsidR="00131B53" w:rsidRPr="001766D3">
            <w:rPr>
              <w:rFonts w:ascii="Garamond" w:hAnsi="Garamond"/>
            </w:rPr>
            <w:fldChar w:fldCharType="begin"/>
          </w:r>
          <w:r w:rsidR="00131B53" w:rsidRPr="001766D3">
            <w:rPr>
              <w:rFonts w:ascii="Garamond" w:hAnsi="Garamond"/>
            </w:rPr>
            <w:instrText xml:space="preserve"> CITATION Fly14 \l 1033 </w:instrText>
          </w:r>
          <w:r w:rsidR="00131B53" w:rsidRPr="001766D3">
            <w:rPr>
              <w:rFonts w:ascii="Garamond" w:hAnsi="Garamond"/>
            </w:rPr>
            <w:fldChar w:fldCharType="separate"/>
          </w:r>
          <w:r w:rsidR="00131B53" w:rsidRPr="001766D3">
            <w:rPr>
              <w:rFonts w:ascii="Garamond" w:hAnsi="Garamond"/>
            </w:rPr>
            <w:t>(Flyvbjerg, 2014)</w:t>
          </w:r>
          <w:r w:rsidR="00131B53" w:rsidRPr="001766D3">
            <w:rPr>
              <w:rFonts w:ascii="Garamond" w:hAnsi="Garamond"/>
            </w:rPr>
            <w:fldChar w:fldCharType="end"/>
          </w:r>
        </w:sdtContent>
      </w:sdt>
      <w:r w:rsidR="00131B53" w:rsidRPr="001766D3">
        <w:rPr>
          <w:rFonts w:ascii="Garamond" w:hAnsi="Garamond"/>
        </w:rPr>
        <w:t xml:space="preserve">. </w:t>
      </w:r>
      <w:r w:rsidR="00EF7099" w:rsidRPr="001766D3">
        <w:rPr>
          <w:rFonts w:ascii="Garamond" w:hAnsi="Garamond"/>
        </w:rPr>
        <w:t>R</w:t>
      </w:r>
      <w:r w:rsidR="00E47E98" w:rsidRPr="001766D3">
        <w:rPr>
          <w:rFonts w:ascii="Garamond" w:hAnsi="Garamond"/>
        </w:rPr>
        <w:t>CF</w:t>
      </w:r>
      <w:r w:rsidR="00EF7099" w:rsidRPr="001766D3">
        <w:rPr>
          <w:rFonts w:ascii="Garamond" w:hAnsi="Garamond"/>
        </w:rPr>
        <w:t xml:space="preserve"> uplifts in-project estimates </w:t>
      </w:r>
      <w:r w:rsidR="009114B3" w:rsidRPr="001766D3">
        <w:rPr>
          <w:rFonts w:ascii="Garamond" w:hAnsi="Garamond"/>
        </w:rPr>
        <w:t>using</w:t>
      </w:r>
      <w:r w:rsidR="00EF7099" w:rsidRPr="001766D3">
        <w:rPr>
          <w:rFonts w:ascii="Garamond" w:hAnsi="Garamond"/>
        </w:rPr>
        <w:t xml:space="preserve"> the </w:t>
      </w:r>
      <w:r w:rsidR="0097159C" w:rsidRPr="001766D3">
        <w:rPr>
          <w:rFonts w:ascii="Garamond" w:hAnsi="Garamond"/>
        </w:rPr>
        <w:t xml:space="preserve">actual </w:t>
      </w:r>
      <w:r w:rsidR="00EF7099" w:rsidRPr="001766D3">
        <w:rPr>
          <w:rFonts w:ascii="Garamond" w:hAnsi="Garamond"/>
        </w:rPr>
        <w:t xml:space="preserve">track record of similar projects, these </w:t>
      </w:r>
      <w:r w:rsidR="0097159C" w:rsidRPr="001766D3">
        <w:rPr>
          <w:rFonts w:ascii="Garamond" w:hAnsi="Garamond"/>
        </w:rPr>
        <w:t>comparable</w:t>
      </w:r>
      <w:r w:rsidR="00EF7099" w:rsidRPr="001766D3">
        <w:rPr>
          <w:rFonts w:ascii="Garamond" w:hAnsi="Garamond"/>
        </w:rPr>
        <w:t xml:space="preserve"> projects constituting the reference class. </w:t>
      </w:r>
      <w:r w:rsidR="002E40FB" w:rsidRPr="001766D3">
        <w:rPr>
          <w:rFonts w:ascii="Garamond" w:hAnsi="Garamond"/>
        </w:rPr>
        <w:t>The track reco</w:t>
      </w:r>
      <w:r w:rsidR="00AC6EC6" w:rsidRPr="001766D3">
        <w:rPr>
          <w:rFonts w:ascii="Garamond" w:hAnsi="Garamond"/>
        </w:rPr>
        <w:t>r</w:t>
      </w:r>
      <w:r w:rsidR="002E40FB" w:rsidRPr="001766D3">
        <w:rPr>
          <w:rFonts w:ascii="Garamond" w:hAnsi="Garamond"/>
        </w:rPr>
        <w:t xml:space="preserve">d essentially </w:t>
      </w:r>
      <w:r w:rsidR="003438EA" w:rsidRPr="001766D3">
        <w:rPr>
          <w:rFonts w:ascii="Garamond" w:hAnsi="Garamond"/>
        </w:rPr>
        <w:t>defines</w:t>
      </w:r>
      <w:r w:rsidR="002E40FB" w:rsidRPr="001766D3">
        <w:rPr>
          <w:rFonts w:ascii="Garamond" w:hAnsi="Garamond"/>
        </w:rPr>
        <w:t xml:space="preserve"> a</w:t>
      </w:r>
      <w:r w:rsidR="005A385C" w:rsidRPr="001766D3">
        <w:rPr>
          <w:rFonts w:ascii="Garamond" w:hAnsi="Garamond"/>
        </w:rPr>
        <w:t xml:space="preserve"> </w:t>
      </w:r>
      <w:r w:rsidR="002E40FB" w:rsidRPr="001766D3">
        <w:rPr>
          <w:rFonts w:ascii="Garamond" w:hAnsi="Garamond"/>
        </w:rPr>
        <w:t>probability distribution</w:t>
      </w:r>
      <w:r w:rsidR="006062BF" w:rsidRPr="001766D3">
        <w:rPr>
          <w:rFonts w:ascii="Garamond" w:hAnsi="Garamond"/>
        </w:rPr>
        <w:t xml:space="preserve">. </w:t>
      </w:r>
      <w:r w:rsidR="00EF7099" w:rsidRPr="001766D3">
        <w:rPr>
          <w:rFonts w:ascii="Garamond" w:hAnsi="Garamond"/>
        </w:rPr>
        <w:t>R</w:t>
      </w:r>
      <w:r w:rsidR="00E47E98" w:rsidRPr="001766D3">
        <w:rPr>
          <w:rFonts w:ascii="Garamond" w:hAnsi="Garamond"/>
        </w:rPr>
        <w:t>CF</w:t>
      </w:r>
      <w:r w:rsidR="00EF7099" w:rsidRPr="001766D3">
        <w:rPr>
          <w:rFonts w:ascii="Garamond" w:hAnsi="Garamond"/>
        </w:rPr>
        <w:t xml:space="preserve"> assumes </w:t>
      </w:r>
      <w:r w:rsidR="003438EA" w:rsidRPr="001766D3">
        <w:rPr>
          <w:rFonts w:ascii="Garamond" w:hAnsi="Garamond"/>
        </w:rPr>
        <w:t xml:space="preserve">that this distribution is relevant to any project in that class </w:t>
      </w:r>
      <w:r w:rsidR="009115BC" w:rsidRPr="001766D3">
        <w:rPr>
          <w:rFonts w:ascii="Garamond" w:hAnsi="Garamond"/>
        </w:rPr>
        <w:t xml:space="preserve">and </w:t>
      </w:r>
      <w:r w:rsidR="003438EA" w:rsidRPr="001766D3">
        <w:rPr>
          <w:rFonts w:ascii="Garamond" w:hAnsi="Garamond"/>
        </w:rPr>
        <w:t>compute</w:t>
      </w:r>
      <w:r w:rsidR="009115BC" w:rsidRPr="001766D3">
        <w:rPr>
          <w:rFonts w:ascii="Garamond" w:hAnsi="Garamond"/>
        </w:rPr>
        <w:t>s</w:t>
      </w:r>
      <w:r w:rsidR="003438EA" w:rsidRPr="001766D3">
        <w:rPr>
          <w:rFonts w:ascii="Garamond" w:hAnsi="Garamond"/>
        </w:rPr>
        <w:t xml:space="preserve"> </w:t>
      </w:r>
      <w:r w:rsidR="009115BC" w:rsidRPr="001766D3">
        <w:rPr>
          <w:rFonts w:ascii="Garamond" w:hAnsi="Garamond"/>
        </w:rPr>
        <w:t xml:space="preserve">empirically </w:t>
      </w:r>
      <w:r w:rsidR="006062BF" w:rsidRPr="001766D3">
        <w:rPr>
          <w:rFonts w:ascii="Garamond" w:hAnsi="Garamond"/>
        </w:rPr>
        <w:t>uplift</w:t>
      </w:r>
      <w:r w:rsidR="009114B3" w:rsidRPr="001766D3">
        <w:rPr>
          <w:rFonts w:ascii="Garamond" w:hAnsi="Garamond"/>
        </w:rPr>
        <w:t>ed</w:t>
      </w:r>
      <w:r w:rsidR="006062BF" w:rsidRPr="001766D3">
        <w:rPr>
          <w:rFonts w:ascii="Garamond" w:hAnsi="Garamond"/>
        </w:rPr>
        <w:t xml:space="preserve"> </w:t>
      </w:r>
      <w:r w:rsidR="009114B3" w:rsidRPr="001766D3">
        <w:rPr>
          <w:rFonts w:ascii="Garamond" w:hAnsi="Garamond"/>
        </w:rPr>
        <w:t xml:space="preserve">estimates </w:t>
      </w:r>
      <w:r w:rsidR="009115BC" w:rsidRPr="001766D3">
        <w:rPr>
          <w:rFonts w:ascii="Garamond" w:hAnsi="Garamond"/>
        </w:rPr>
        <w:t xml:space="preserve">to </w:t>
      </w:r>
      <w:r w:rsidR="003438EA" w:rsidRPr="001766D3">
        <w:rPr>
          <w:rFonts w:ascii="Garamond" w:hAnsi="Garamond"/>
        </w:rPr>
        <w:t xml:space="preserve">fall within </w:t>
      </w:r>
      <w:r w:rsidR="00D10948" w:rsidRPr="001766D3">
        <w:rPr>
          <w:rFonts w:ascii="Garamond" w:hAnsi="Garamond"/>
        </w:rPr>
        <w:t xml:space="preserve">a </w:t>
      </w:r>
      <w:r w:rsidR="009115BC" w:rsidRPr="001766D3">
        <w:rPr>
          <w:rFonts w:ascii="Garamond" w:hAnsi="Garamond"/>
        </w:rPr>
        <w:t>desired certainty percentile</w:t>
      </w:r>
      <w:r w:rsidR="003438EA" w:rsidRPr="001766D3">
        <w:rPr>
          <w:rFonts w:ascii="Garamond" w:hAnsi="Garamond"/>
        </w:rPr>
        <w:t xml:space="preserve">, as opposed to </w:t>
      </w:r>
      <w:r w:rsidR="006062BF" w:rsidRPr="001766D3">
        <w:rPr>
          <w:rFonts w:ascii="Garamond" w:hAnsi="Garamond"/>
        </w:rPr>
        <w:t xml:space="preserve">predicting specific </w:t>
      </w:r>
      <w:r w:rsidR="009114B3" w:rsidRPr="001766D3">
        <w:rPr>
          <w:rFonts w:ascii="Garamond" w:hAnsi="Garamond"/>
        </w:rPr>
        <w:t>estimates</w:t>
      </w:r>
      <w:r w:rsidR="006062BF" w:rsidRPr="001766D3">
        <w:rPr>
          <w:rFonts w:ascii="Garamond" w:hAnsi="Garamond"/>
        </w:rPr>
        <w:t>.</w:t>
      </w:r>
      <w:r w:rsidR="00354011" w:rsidRPr="001766D3">
        <w:rPr>
          <w:rFonts w:ascii="Garamond" w:hAnsi="Garamond"/>
        </w:rPr>
        <w:t xml:space="preserve"> </w:t>
      </w:r>
    </w:p>
    <w:p w14:paraId="66459799" w14:textId="11737EB8" w:rsidR="00651ACB" w:rsidRPr="001766D3" w:rsidRDefault="004A2786" w:rsidP="00EF7099">
      <w:pPr>
        <w:rPr>
          <w:rFonts w:ascii="Garamond" w:hAnsi="Garamond"/>
        </w:rPr>
      </w:pPr>
      <w:r w:rsidRPr="001766D3">
        <w:rPr>
          <w:rFonts w:ascii="Garamond" w:hAnsi="Garamond"/>
        </w:rPr>
        <w:t>A survey of offshore project track record from</w:t>
      </w:r>
      <w:r w:rsidR="00A92DB2" w:rsidRPr="001766D3">
        <w:rPr>
          <w:rFonts w:ascii="Garamond" w:hAnsi="Garamond"/>
        </w:rPr>
        <w:t xml:space="preserve"> existing</w:t>
      </w:r>
      <w:r w:rsidRPr="001766D3">
        <w:rPr>
          <w:rFonts w:ascii="Garamond" w:hAnsi="Garamond"/>
        </w:rPr>
        <w:t xml:space="preserve"> data and literature will first quantify and establish the extent of the cost and schedule underestimation</w:t>
      </w:r>
      <w:r w:rsidR="00170558" w:rsidRPr="001766D3">
        <w:rPr>
          <w:rFonts w:ascii="Garamond" w:hAnsi="Garamond"/>
        </w:rPr>
        <w:t xml:space="preserve"> problem</w:t>
      </w:r>
      <w:r w:rsidR="00CF4C26" w:rsidRPr="001766D3">
        <w:rPr>
          <w:rFonts w:ascii="Garamond" w:hAnsi="Garamond"/>
        </w:rPr>
        <w:t xml:space="preserve"> in Oil and Gas projects</w:t>
      </w:r>
      <w:r w:rsidRPr="001766D3">
        <w:rPr>
          <w:rFonts w:ascii="Garamond" w:hAnsi="Garamond"/>
        </w:rPr>
        <w:t xml:space="preserve">. </w:t>
      </w:r>
      <w:r w:rsidR="001C14A5" w:rsidRPr="001766D3">
        <w:rPr>
          <w:rFonts w:ascii="Garamond" w:hAnsi="Garamond"/>
        </w:rPr>
        <w:t>This</w:t>
      </w:r>
      <w:r w:rsidR="003438EA" w:rsidRPr="001766D3">
        <w:rPr>
          <w:rFonts w:ascii="Garamond" w:hAnsi="Garamond"/>
        </w:rPr>
        <w:t xml:space="preserve"> work</w:t>
      </w:r>
      <w:r w:rsidR="00734076" w:rsidRPr="001766D3">
        <w:rPr>
          <w:rFonts w:ascii="Garamond" w:hAnsi="Garamond"/>
        </w:rPr>
        <w:t xml:space="preserve"> </w:t>
      </w:r>
      <w:r w:rsidR="00354011" w:rsidRPr="001766D3">
        <w:rPr>
          <w:rFonts w:ascii="Garamond" w:hAnsi="Garamond"/>
        </w:rPr>
        <w:t xml:space="preserve">proposes to </w:t>
      </w:r>
      <w:r w:rsidR="00DF2075" w:rsidRPr="001766D3">
        <w:rPr>
          <w:rFonts w:ascii="Garamond" w:hAnsi="Garamond"/>
        </w:rPr>
        <w:t xml:space="preserve">apply RCF to </w:t>
      </w:r>
      <w:r w:rsidR="00651ACB" w:rsidRPr="001766D3">
        <w:rPr>
          <w:rFonts w:ascii="Garamond" w:hAnsi="Garamond"/>
        </w:rPr>
        <w:t xml:space="preserve">estimate </w:t>
      </w:r>
      <w:r w:rsidR="004E4FF5" w:rsidRPr="001766D3">
        <w:rPr>
          <w:rFonts w:ascii="Garamond" w:hAnsi="Garamond"/>
        </w:rPr>
        <w:t xml:space="preserve">project </w:t>
      </w:r>
      <w:r w:rsidR="00354011" w:rsidRPr="001766D3">
        <w:rPr>
          <w:rFonts w:ascii="Garamond" w:hAnsi="Garamond"/>
        </w:rPr>
        <w:t>cost and schedule uplifts</w:t>
      </w:r>
      <w:r w:rsidR="00651ACB" w:rsidRPr="001766D3">
        <w:rPr>
          <w:rFonts w:ascii="Garamond" w:hAnsi="Garamond"/>
        </w:rPr>
        <w:t xml:space="preserve"> using projects in their class drawing on existing literature on </w:t>
      </w:r>
      <w:r w:rsidR="00193C87" w:rsidRPr="001766D3">
        <w:rPr>
          <w:rFonts w:ascii="Garamond" w:hAnsi="Garamond"/>
        </w:rPr>
        <w:t xml:space="preserve">RCF </w:t>
      </w:r>
      <w:r w:rsidR="00651ACB" w:rsidRPr="001766D3">
        <w:rPr>
          <w:rFonts w:ascii="Garamond" w:hAnsi="Garamond"/>
        </w:rPr>
        <w:t>application to megaprojects</w:t>
      </w:r>
      <w:r w:rsidR="008A1040" w:rsidRPr="001766D3">
        <w:rPr>
          <w:rFonts w:ascii="Garamond" w:hAnsi="Garamond"/>
        </w:rPr>
        <w:t xml:space="preserve">. </w:t>
      </w:r>
      <w:r w:rsidR="00651ACB" w:rsidRPr="001766D3">
        <w:rPr>
          <w:rFonts w:ascii="Garamond" w:hAnsi="Garamond"/>
        </w:rPr>
        <w:t xml:space="preserve">Oil and Gas </w:t>
      </w:r>
      <w:r w:rsidR="00193C87" w:rsidRPr="001766D3">
        <w:rPr>
          <w:rFonts w:ascii="Garamond" w:hAnsi="Garamond"/>
        </w:rPr>
        <w:t xml:space="preserve">projects </w:t>
      </w:r>
      <w:r w:rsidR="00651ACB" w:rsidRPr="001766D3">
        <w:rPr>
          <w:rFonts w:ascii="Garamond" w:hAnsi="Garamond"/>
        </w:rPr>
        <w:t xml:space="preserve">will be subdivided into classes using factors identified </w:t>
      </w:r>
      <w:r w:rsidR="003C75E2" w:rsidRPr="001766D3">
        <w:rPr>
          <w:rFonts w:ascii="Garamond" w:hAnsi="Garamond"/>
        </w:rPr>
        <w:t>from</w:t>
      </w:r>
      <w:r w:rsidR="008A1040" w:rsidRPr="001766D3">
        <w:rPr>
          <w:rFonts w:ascii="Garamond" w:hAnsi="Garamond"/>
        </w:rPr>
        <w:t xml:space="preserve"> studies into their performance</w:t>
      </w:r>
      <w:r w:rsidR="00651ACB" w:rsidRPr="001766D3">
        <w:rPr>
          <w:rFonts w:ascii="Garamond" w:hAnsi="Garamond"/>
        </w:rPr>
        <w:t>, such as location, capital budget, planned duration etc.</w:t>
      </w:r>
      <w:r w:rsidR="008A1040" w:rsidRPr="001766D3">
        <w:rPr>
          <w:rFonts w:ascii="Garamond" w:hAnsi="Garamond"/>
        </w:rPr>
        <w:t xml:space="preserve"> </w:t>
      </w:r>
      <w:r w:rsidR="00575708" w:rsidRPr="001766D3">
        <w:rPr>
          <w:rFonts w:ascii="Garamond" w:hAnsi="Garamond"/>
        </w:rPr>
        <w:t xml:space="preserve">Additionally, questionnaires may be used to elicit answers regarding factors that influence project outcomes from experienced project planners or consultants to interpret and classify the collected project data. However, these questionnaires may not be used for the research. </w:t>
      </w:r>
      <w:r w:rsidR="008A1040" w:rsidRPr="001766D3">
        <w:rPr>
          <w:rFonts w:ascii="Garamond" w:hAnsi="Garamond"/>
        </w:rPr>
        <w:t xml:space="preserve">The </w:t>
      </w:r>
      <w:r w:rsidR="00193C87" w:rsidRPr="001766D3">
        <w:rPr>
          <w:rFonts w:ascii="Garamond" w:hAnsi="Garamond"/>
        </w:rPr>
        <w:t xml:space="preserve">cost and schedule records </w:t>
      </w:r>
      <w:r w:rsidR="006D4B69" w:rsidRPr="001766D3">
        <w:rPr>
          <w:rFonts w:ascii="Garamond" w:hAnsi="Garamond"/>
        </w:rPr>
        <w:t xml:space="preserve">of projects </w:t>
      </w:r>
      <w:r w:rsidR="008A1040" w:rsidRPr="001766D3">
        <w:rPr>
          <w:rFonts w:ascii="Garamond" w:hAnsi="Garamond"/>
        </w:rPr>
        <w:t xml:space="preserve">in each class will be </w:t>
      </w:r>
      <w:r w:rsidR="003C75E2" w:rsidRPr="001766D3">
        <w:rPr>
          <w:rFonts w:ascii="Garamond" w:hAnsi="Garamond"/>
        </w:rPr>
        <w:t xml:space="preserve">randomly </w:t>
      </w:r>
      <w:r w:rsidR="008A1040" w:rsidRPr="001766D3">
        <w:rPr>
          <w:rFonts w:ascii="Garamond" w:hAnsi="Garamond"/>
        </w:rPr>
        <w:t xml:space="preserve">subdivided into a training and testing dataset. Following this, distributions will be constructed for each class of projects from the training data. </w:t>
      </w:r>
      <w:r w:rsidR="0009398C" w:rsidRPr="001766D3">
        <w:rPr>
          <w:rFonts w:ascii="Garamond" w:hAnsi="Garamond"/>
        </w:rPr>
        <w:t xml:space="preserve">Several cost and schedule uplifts for each project with different certainty percentiles will be estimated. </w:t>
      </w:r>
      <w:r w:rsidR="008A1040" w:rsidRPr="001766D3">
        <w:rPr>
          <w:rFonts w:ascii="Garamond" w:hAnsi="Garamond"/>
        </w:rPr>
        <w:t>The</w:t>
      </w:r>
      <w:r w:rsidR="003C75E2" w:rsidRPr="001766D3">
        <w:rPr>
          <w:rFonts w:ascii="Garamond" w:hAnsi="Garamond"/>
        </w:rPr>
        <w:t xml:space="preserve"> forecasted</w:t>
      </w:r>
      <w:r w:rsidR="008A1040" w:rsidRPr="001766D3">
        <w:rPr>
          <w:rFonts w:ascii="Garamond" w:hAnsi="Garamond"/>
        </w:rPr>
        <w:t xml:space="preserve"> </w:t>
      </w:r>
      <w:r w:rsidR="003C75E2" w:rsidRPr="001766D3">
        <w:rPr>
          <w:rFonts w:ascii="Garamond" w:hAnsi="Garamond"/>
        </w:rPr>
        <w:t xml:space="preserve">percentile uplifts will be compared with the track record </w:t>
      </w:r>
      <w:r w:rsidR="000F3B22" w:rsidRPr="001766D3">
        <w:rPr>
          <w:rFonts w:ascii="Garamond" w:hAnsi="Garamond"/>
        </w:rPr>
        <w:t>in</w:t>
      </w:r>
      <w:r w:rsidR="003C75E2" w:rsidRPr="001766D3">
        <w:rPr>
          <w:rFonts w:ascii="Garamond" w:hAnsi="Garamond"/>
        </w:rPr>
        <w:t xml:space="preserve"> the test data.</w:t>
      </w:r>
      <w:r w:rsidR="008A1040" w:rsidRPr="001766D3">
        <w:rPr>
          <w:rFonts w:ascii="Garamond" w:hAnsi="Garamond"/>
        </w:rPr>
        <w:t xml:space="preserve"> </w:t>
      </w:r>
    </w:p>
    <w:p w14:paraId="6B7A9DB2" w14:textId="3C0200BD" w:rsidR="00EF7099" w:rsidRPr="001766D3" w:rsidRDefault="003C75E2" w:rsidP="004A2786">
      <w:pPr>
        <w:rPr>
          <w:rFonts w:ascii="Garamond" w:hAnsi="Garamond"/>
        </w:rPr>
      </w:pPr>
      <w:r w:rsidRPr="001766D3">
        <w:rPr>
          <w:rFonts w:ascii="Garamond" w:hAnsi="Garamond"/>
        </w:rPr>
        <w:t>We</w:t>
      </w:r>
      <w:r w:rsidR="00DF2075" w:rsidRPr="001766D3">
        <w:rPr>
          <w:rFonts w:ascii="Garamond" w:hAnsi="Garamond"/>
        </w:rPr>
        <w:t xml:space="preserve"> will also take a predictive approach to </w:t>
      </w:r>
      <w:r w:rsidR="00651ACB" w:rsidRPr="001766D3">
        <w:rPr>
          <w:rFonts w:ascii="Garamond" w:hAnsi="Garamond"/>
        </w:rPr>
        <w:t xml:space="preserve">forecast project specific uplifts. </w:t>
      </w:r>
      <w:r w:rsidR="0009398C" w:rsidRPr="001766D3">
        <w:rPr>
          <w:rFonts w:ascii="Garamond" w:hAnsi="Garamond"/>
        </w:rPr>
        <w:t xml:space="preserve">A specific cost and schedule uplift will be forecast for each project. </w:t>
      </w:r>
      <w:r w:rsidR="00D9345D" w:rsidRPr="001766D3">
        <w:rPr>
          <w:rFonts w:ascii="Garamond" w:hAnsi="Garamond"/>
        </w:rPr>
        <w:t xml:space="preserve">The predictive approach will use </w:t>
      </w:r>
      <w:r w:rsidR="00D83920" w:rsidRPr="001766D3">
        <w:rPr>
          <w:rFonts w:ascii="Garamond" w:hAnsi="Garamond"/>
        </w:rPr>
        <w:t xml:space="preserve">data analytics and </w:t>
      </w:r>
      <w:r w:rsidR="00F950A8" w:rsidRPr="001766D3">
        <w:rPr>
          <w:rFonts w:ascii="Garamond" w:hAnsi="Garamond"/>
        </w:rPr>
        <w:t>M</w:t>
      </w:r>
      <w:r w:rsidR="00D9345D" w:rsidRPr="001766D3">
        <w:rPr>
          <w:rFonts w:ascii="Garamond" w:hAnsi="Garamond"/>
        </w:rPr>
        <w:t xml:space="preserve">achine </w:t>
      </w:r>
      <w:r w:rsidR="00F950A8" w:rsidRPr="001766D3">
        <w:rPr>
          <w:rFonts w:ascii="Garamond" w:hAnsi="Garamond"/>
        </w:rPr>
        <w:t>L</w:t>
      </w:r>
      <w:r w:rsidR="00D9345D" w:rsidRPr="001766D3">
        <w:rPr>
          <w:rFonts w:ascii="Garamond" w:hAnsi="Garamond"/>
        </w:rPr>
        <w:t xml:space="preserve">earning </w:t>
      </w:r>
      <w:r w:rsidR="00F950A8" w:rsidRPr="001766D3">
        <w:rPr>
          <w:rFonts w:ascii="Garamond" w:hAnsi="Garamond"/>
        </w:rPr>
        <w:t xml:space="preserve">(ML) </w:t>
      </w:r>
      <w:r w:rsidR="00D9345D" w:rsidRPr="001766D3">
        <w:rPr>
          <w:rFonts w:ascii="Garamond" w:hAnsi="Garamond"/>
        </w:rPr>
        <w:t xml:space="preserve">algorithms. </w:t>
      </w:r>
      <w:r w:rsidR="00354011" w:rsidRPr="001766D3">
        <w:rPr>
          <w:rFonts w:ascii="Garamond" w:hAnsi="Garamond"/>
        </w:rPr>
        <w:t>Th</w:t>
      </w:r>
      <w:r w:rsidR="007C198C" w:rsidRPr="001766D3">
        <w:rPr>
          <w:rFonts w:ascii="Garamond" w:hAnsi="Garamond"/>
        </w:rPr>
        <w:t xml:space="preserve">is </w:t>
      </w:r>
      <w:r w:rsidR="003438EA" w:rsidRPr="001766D3">
        <w:rPr>
          <w:rFonts w:ascii="Garamond" w:hAnsi="Garamond"/>
        </w:rPr>
        <w:t xml:space="preserve">approach </w:t>
      </w:r>
      <w:r w:rsidR="00354011" w:rsidRPr="001766D3">
        <w:rPr>
          <w:rFonts w:ascii="Garamond" w:hAnsi="Garamond"/>
        </w:rPr>
        <w:t>can</w:t>
      </w:r>
      <w:r w:rsidR="003438EA" w:rsidRPr="001766D3">
        <w:rPr>
          <w:rFonts w:ascii="Garamond" w:hAnsi="Garamond"/>
        </w:rPr>
        <w:t xml:space="preserve"> </w:t>
      </w:r>
      <w:r w:rsidR="00354011" w:rsidRPr="001766D3">
        <w:rPr>
          <w:rFonts w:ascii="Garamond" w:hAnsi="Garamond"/>
        </w:rPr>
        <w:t>utilize</w:t>
      </w:r>
      <w:r w:rsidR="003438EA" w:rsidRPr="001766D3">
        <w:rPr>
          <w:rFonts w:ascii="Garamond" w:hAnsi="Garamond"/>
        </w:rPr>
        <w:t xml:space="preserve"> “inside view” project information</w:t>
      </w:r>
      <w:r w:rsidR="00BB6C8E" w:rsidRPr="001766D3">
        <w:rPr>
          <w:rFonts w:ascii="Garamond" w:hAnsi="Garamond"/>
        </w:rPr>
        <w:t xml:space="preserve"> such as the effect of the </w:t>
      </w:r>
      <w:r w:rsidR="00734076" w:rsidRPr="001766D3">
        <w:rPr>
          <w:rFonts w:ascii="Garamond" w:hAnsi="Garamond"/>
        </w:rPr>
        <w:t xml:space="preserve">pre-EPC </w:t>
      </w:r>
      <w:r w:rsidR="00354011" w:rsidRPr="001766D3">
        <w:rPr>
          <w:rFonts w:ascii="Garamond" w:hAnsi="Garamond"/>
        </w:rPr>
        <w:t xml:space="preserve">phase </w:t>
      </w:r>
      <w:r w:rsidR="00BB6C8E" w:rsidRPr="001766D3">
        <w:rPr>
          <w:rFonts w:ascii="Garamond" w:hAnsi="Garamond"/>
        </w:rPr>
        <w:t>shaping process</w:t>
      </w:r>
      <w:r w:rsidR="003438EA" w:rsidRPr="001766D3">
        <w:rPr>
          <w:rFonts w:ascii="Garamond" w:hAnsi="Garamond"/>
        </w:rPr>
        <w:t xml:space="preserve">, while keeping the “outside view” approach of using a reference class. </w:t>
      </w:r>
      <w:r w:rsidR="00734076" w:rsidRPr="001766D3">
        <w:rPr>
          <w:rFonts w:ascii="Garamond" w:hAnsi="Garamond"/>
        </w:rPr>
        <w:t xml:space="preserve">A prediction model will be used downstream of a classification model. </w:t>
      </w:r>
      <w:r w:rsidR="00E47E98" w:rsidRPr="001766D3">
        <w:rPr>
          <w:rFonts w:ascii="Garamond" w:hAnsi="Garamond"/>
        </w:rPr>
        <w:t>The goal is to apply a rigorous approach</w:t>
      </w:r>
      <w:r w:rsidR="003438EA" w:rsidRPr="001766D3">
        <w:rPr>
          <w:rFonts w:ascii="Garamond" w:hAnsi="Garamond"/>
        </w:rPr>
        <w:t xml:space="preserve"> us</w:t>
      </w:r>
      <w:r w:rsidR="00E47E98" w:rsidRPr="001766D3">
        <w:rPr>
          <w:rFonts w:ascii="Garamond" w:hAnsi="Garamond"/>
        </w:rPr>
        <w:t>ing</w:t>
      </w:r>
      <w:r w:rsidR="003438EA" w:rsidRPr="001766D3">
        <w:rPr>
          <w:rFonts w:ascii="Garamond" w:hAnsi="Garamond"/>
        </w:rPr>
        <w:t xml:space="preserve"> predictive models developed </w:t>
      </w:r>
      <w:r w:rsidR="007C198C" w:rsidRPr="001766D3">
        <w:rPr>
          <w:rFonts w:ascii="Garamond" w:hAnsi="Garamond"/>
        </w:rPr>
        <w:t>from</w:t>
      </w:r>
      <w:r w:rsidR="003438EA" w:rsidRPr="001766D3">
        <w:rPr>
          <w:rFonts w:ascii="Garamond" w:hAnsi="Garamond"/>
        </w:rPr>
        <w:t xml:space="preserve"> Machine Learning to learn from the distributional data.</w:t>
      </w:r>
      <w:r w:rsidR="006062BF" w:rsidRPr="001766D3">
        <w:rPr>
          <w:rFonts w:ascii="Garamond" w:hAnsi="Garamond"/>
        </w:rPr>
        <w:t xml:space="preserve"> </w:t>
      </w:r>
      <w:r w:rsidR="0078522B" w:rsidRPr="001766D3">
        <w:rPr>
          <w:rFonts w:ascii="Garamond" w:hAnsi="Garamond"/>
        </w:rPr>
        <w:t>O</w:t>
      </w:r>
      <w:r w:rsidR="0046676C" w:rsidRPr="001766D3">
        <w:rPr>
          <w:rFonts w:ascii="Garamond" w:hAnsi="Garamond"/>
        </w:rPr>
        <w:t xml:space="preserve">utliers </w:t>
      </w:r>
      <w:r w:rsidR="00595B59" w:rsidRPr="001766D3">
        <w:rPr>
          <w:rFonts w:ascii="Garamond" w:hAnsi="Garamond"/>
        </w:rPr>
        <w:t xml:space="preserve">in a reference class </w:t>
      </w:r>
      <w:r w:rsidR="0046676C" w:rsidRPr="001766D3">
        <w:rPr>
          <w:rFonts w:ascii="Garamond" w:hAnsi="Garamond"/>
        </w:rPr>
        <w:t xml:space="preserve">may be extreme but </w:t>
      </w:r>
      <w:r w:rsidR="00D241A1" w:rsidRPr="001766D3">
        <w:rPr>
          <w:rFonts w:ascii="Garamond" w:hAnsi="Garamond"/>
        </w:rPr>
        <w:t xml:space="preserve">are </w:t>
      </w:r>
      <w:r w:rsidR="0046676C" w:rsidRPr="001766D3">
        <w:rPr>
          <w:rFonts w:ascii="Garamond" w:hAnsi="Garamond"/>
        </w:rPr>
        <w:t>significant</w:t>
      </w:r>
      <w:r w:rsidR="0046676C" w:rsidRPr="001766D3">
        <w:rPr>
          <w:rFonts w:ascii="Garamond" w:hAnsi="Garamond"/>
          <w:sz w:val="24"/>
        </w:rPr>
        <w:t xml:space="preserve"> to </w:t>
      </w:r>
      <w:r w:rsidR="0046676C" w:rsidRPr="001766D3">
        <w:rPr>
          <w:rFonts w:ascii="Garamond" w:hAnsi="Garamond"/>
        </w:rPr>
        <w:t xml:space="preserve">statistical analysis of cost overrun </w:t>
      </w:r>
      <w:sdt>
        <w:sdtPr>
          <w:rPr>
            <w:rFonts w:ascii="Garamond" w:hAnsi="Garamond"/>
          </w:rPr>
          <w:id w:val="334044162"/>
          <w:citation/>
        </w:sdtPr>
        <w:sdtEndPr/>
        <w:sdtContent>
          <w:r w:rsidR="0046676C" w:rsidRPr="001766D3">
            <w:rPr>
              <w:rFonts w:ascii="Garamond" w:hAnsi="Garamond"/>
            </w:rPr>
            <w:fldChar w:fldCharType="begin"/>
          </w:r>
          <w:r w:rsidR="0046676C" w:rsidRPr="001766D3">
            <w:rPr>
              <w:rFonts w:ascii="Garamond" w:hAnsi="Garamond"/>
            </w:rPr>
            <w:instrText xml:space="preserve"> CITATION Fly18 \l 1033 </w:instrText>
          </w:r>
          <w:r w:rsidR="0046676C" w:rsidRPr="001766D3">
            <w:rPr>
              <w:rFonts w:ascii="Garamond" w:hAnsi="Garamond"/>
            </w:rPr>
            <w:fldChar w:fldCharType="separate"/>
          </w:r>
          <w:r w:rsidR="0046676C" w:rsidRPr="001766D3">
            <w:rPr>
              <w:rFonts w:ascii="Garamond" w:hAnsi="Garamond"/>
            </w:rPr>
            <w:t>(Flyvbjerg, et al., 2018)</w:t>
          </w:r>
          <w:r w:rsidR="0046676C" w:rsidRPr="001766D3">
            <w:rPr>
              <w:rFonts w:ascii="Garamond" w:hAnsi="Garamond"/>
            </w:rPr>
            <w:fldChar w:fldCharType="end"/>
          </w:r>
        </w:sdtContent>
      </w:sdt>
      <w:r w:rsidR="00734076" w:rsidRPr="001766D3">
        <w:rPr>
          <w:rFonts w:ascii="Garamond" w:hAnsi="Garamond"/>
        </w:rPr>
        <w:t xml:space="preserve">. </w:t>
      </w:r>
      <w:r w:rsidR="002E37AC" w:rsidRPr="001766D3">
        <w:rPr>
          <w:rFonts w:ascii="Garamond" w:hAnsi="Garamond"/>
        </w:rPr>
        <w:t xml:space="preserve">Outliers </w:t>
      </w:r>
      <w:r w:rsidR="00595B59" w:rsidRPr="001766D3">
        <w:rPr>
          <w:rFonts w:ascii="Garamond" w:hAnsi="Garamond"/>
        </w:rPr>
        <w:t xml:space="preserve">and “fat tails” </w:t>
      </w:r>
      <w:r w:rsidR="00595B59" w:rsidRPr="001766D3">
        <w:rPr>
          <w:rFonts w:ascii="Garamond" w:hAnsi="Garamond"/>
        </w:rPr>
        <w:lastRenderedPageBreak/>
        <w:t xml:space="preserve">in project distributional data </w:t>
      </w:r>
      <w:r w:rsidR="0046676C" w:rsidRPr="001766D3">
        <w:rPr>
          <w:rFonts w:ascii="Garamond" w:hAnsi="Garamond"/>
        </w:rPr>
        <w:t>can be corelated with factors that affect the</w:t>
      </w:r>
      <w:r w:rsidR="00734076" w:rsidRPr="001766D3">
        <w:rPr>
          <w:rFonts w:ascii="Garamond" w:hAnsi="Garamond"/>
        </w:rPr>
        <w:t>ir occurrence</w:t>
      </w:r>
      <w:r w:rsidR="0046676C" w:rsidRPr="001766D3">
        <w:rPr>
          <w:rFonts w:ascii="Garamond" w:hAnsi="Garamond"/>
        </w:rPr>
        <w:t xml:space="preserve"> by </w:t>
      </w:r>
      <w:r w:rsidR="00F50E65" w:rsidRPr="001766D3">
        <w:rPr>
          <w:rFonts w:ascii="Garamond" w:hAnsi="Garamond"/>
        </w:rPr>
        <w:t>a</w:t>
      </w:r>
      <w:r w:rsidR="0046676C" w:rsidRPr="001766D3">
        <w:rPr>
          <w:rFonts w:ascii="Garamond" w:hAnsi="Garamond"/>
        </w:rPr>
        <w:t xml:space="preserve"> trained model</w:t>
      </w:r>
      <w:r w:rsidR="00734076" w:rsidRPr="001766D3">
        <w:rPr>
          <w:rFonts w:ascii="Garamond" w:hAnsi="Garamond"/>
        </w:rPr>
        <w:t>,</w:t>
      </w:r>
      <w:r w:rsidR="0046676C" w:rsidRPr="001766D3">
        <w:rPr>
          <w:rFonts w:ascii="Garamond" w:hAnsi="Garamond"/>
        </w:rPr>
        <w:t xml:space="preserve"> rather than </w:t>
      </w:r>
      <w:r w:rsidR="002E37AC" w:rsidRPr="001766D3">
        <w:rPr>
          <w:rFonts w:ascii="Garamond" w:hAnsi="Garamond"/>
        </w:rPr>
        <w:t xml:space="preserve">just </w:t>
      </w:r>
      <w:r w:rsidR="0046676C" w:rsidRPr="001766D3">
        <w:rPr>
          <w:rFonts w:ascii="Garamond" w:hAnsi="Garamond"/>
        </w:rPr>
        <w:t xml:space="preserve">being part of </w:t>
      </w:r>
      <w:r w:rsidR="002E37AC" w:rsidRPr="001766D3">
        <w:rPr>
          <w:rFonts w:ascii="Garamond" w:hAnsi="Garamond"/>
        </w:rPr>
        <w:t>the</w:t>
      </w:r>
      <w:r w:rsidR="00766DF6" w:rsidRPr="001766D3">
        <w:rPr>
          <w:rFonts w:ascii="Garamond" w:hAnsi="Garamond"/>
        </w:rPr>
        <w:t xml:space="preserve"> reference class </w:t>
      </w:r>
      <w:r w:rsidR="0046676C" w:rsidRPr="001766D3">
        <w:rPr>
          <w:rFonts w:ascii="Garamond" w:hAnsi="Garamond"/>
        </w:rPr>
        <w:t>probability distribution</w:t>
      </w:r>
      <w:r w:rsidR="00C455AA" w:rsidRPr="001766D3">
        <w:rPr>
          <w:rFonts w:ascii="Garamond" w:hAnsi="Garamond"/>
        </w:rPr>
        <w:t xml:space="preserve"> where they have equal probability of occurrence for every project in the class</w:t>
      </w:r>
      <w:r w:rsidR="0046676C" w:rsidRPr="001766D3">
        <w:rPr>
          <w:rFonts w:ascii="Garamond" w:hAnsi="Garamond"/>
        </w:rPr>
        <w:t xml:space="preserve">. </w:t>
      </w:r>
      <w:r w:rsidR="00F950A8" w:rsidRPr="001766D3">
        <w:rPr>
          <w:rFonts w:ascii="Garamond" w:hAnsi="Garamond"/>
        </w:rPr>
        <w:t xml:space="preserve">The mean of a reference class distribution can change from the effect of factors that could be discovered by the trained model. </w:t>
      </w:r>
      <w:r w:rsidR="00E47E98" w:rsidRPr="001766D3">
        <w:rPr>
          <w:rFonts w:ascii="Garamond" w:hAnsi="Garamond"/>
        </w:rPr>
        <w:t>F</w:t>
      </w:r>
      <w:r w:rsidR="00C32950" w:rsidRPr="001766D3">
        <w:rPr>
          <w:rFonts w:ascii="Garamond" w:hAnsi="Garamond"/>
        </w:rPr>
        <w:t xml:space="preserve">actors </w:t>
      </w:r>
      <w:r w:rsidR="007C198C" w:rsidRPr="001766D3">
        <w:rPr>
          <w:rFonts w:ascii="Garamond" w:hAnsi="Garamond"/>
        </w:rPr>
        <w:t>affecting</w:t>
      </w:r>
      <w:r w:rsidR="00C32950" w:rsidRPr="001766D3">
        <w:rPr>
          <w:rFonts w:ascii="Garamond" w:hAnsi="Garamond"/>
        </w:rPr>
        <w:t xml:space="preserve"> performance </w:t>
      </w:r>
      <w:r w:rsidR="006D450B" w:rsidRPr="001766D3">
        <w:rPr>
          <w:rFonts w:ascii="Garamond" w:hAnsi="Garamond"/>
        </w:rPr>
        <w:t xml:space="preserve">and forecasting accuracy </w:t>
      </w:r>
      <w:r w:rsidR="00C32950" w:rsidRPr="001766D3">
        <w:rPr>
          <w:rFonts w:ascii="Garamond" w:hAnsi="Garamond"/>
        </w:rPr>
        <w:t>will be identified using a combination of clustering models and statistical assessment of the data</w:t>
      </w:r>
      <w:r w:rsidR="004E4FF5" w:rsidRPr="001766D3">
        <w:rPr>
          <w:rFonts w:ascii="Garamond" w:hAnsi="Garamond"/>
        </w:rPr>
        <w:t xml:space="preserve"> </w:t>
      </w:r>
      <w:r w:rsidR="00C32950" w:rsidRPr="001766D3">
        <w:rPr>
          <w:rFonts w:ascii="Garamond" w:hAnsi="Garamond"/>
        </w:rPr>
        <w:t xml:space="preserve">informed by pertinent extant literature. </w:t>
      </w:r>
      <w:r w:rsidR="006D450B" w:rsidRPr="001766D3">
        <w:rPr>
          <w:rFonts w:ascii="Garamond" w:hAnsi="Garamond"/>
        </w:rPr>
        <w:t>“Outside”</w:t>
      </w:r>
      <w:r w:rsidR="005A385C" w:rsidRPr="001766D3">
        <w:rPr>
          <w:rFonts w:ascii="Garamond" w:hAnsi="Garamond"/>
        </w:rPr>
        <w:t xml:space="preserve"> factors</w:t>
      </w:r>
      <w:r w:rsidR="006D450B" w:rsidRPr="001766D3">
        <w:rPr>
          <w:rFonts w:ascii="Garamond" w:hAnsi="Garamond"/>
        </w:rPr>
        <w:t xml:space="preserve"> (roughly </w:t>
      </w:r>
      <w:r w:rsidR="00E47E98" w:rsidRPr="001766D3">
        <w:rPr>
          <w:rFonts w:ascii="Garamond" w:hAnsi="Garamond"/>
        </w:rPr>
        <w:t>factors predominantly outside the project organization</w:t>
      </w:r>
      <w:r w:rsidR="00F50E65" w:rsidRPr="001766D3">
        <w:rPr>
          <w:rFonts w:ascii="Garamond" w:hAnsi="Garamond"/>
        </w:rPr>
        <w:t>’</w:t>
      </w:r>
      <w:r w:rsidR="00E47E98" w:rsidRPr="001766D3">
        <w:rPr>
          <w:rFonts w:ascii="Garamond" w:hAnsi="Garamond"/>
        </w:rPr>
        <w:t xml:space="preserve">s control </w:t>
      </w:r>
      <w:r w:rsidR="006518CE" w:rsidRPr="001766D3">
        <w:rPr>
          <w:rFonts w:ascii="Garamond" w:hAnsi="Garamond"/>
        </w:rPr>
        <w:t>after the</w:t>
      </w:r>
      <w:r w:rsidR="00E47E98" w:rsidRPr="001766D3">
        <w:rPr>
          <w:rFonts w:ascii="Garamond" w:hAnsi="Garamond"/>
        </w:rPr>
        <w:t xml:space="preserve"> appraisal phase)</w:t>
      </w:r>
      <w:r w:rsidR="006D450B" w:rsidRPr="001766D3">
        <w:rPr>
          <w:rFonts w:ascii="Garamond" w:hAnsi="Garamond"/>
        </w:rPr>
        <w:t xml:space="preserve"> may</w:t>
      </w:r>
      <w:r w:rsidR="005A385C" w:rsidRPr="001766D3">
        <w:rPr>
          <w:rFonts w:ascii="Garamond" w:hAnsi="Garamond"/>
        </w:rPr>
        <w:t xml:space="preserve"> include location, political, socio-economic challenges etc. </w:t>
      </w:r>
      <w:r w:rsidR="006D450B" w:rsidRPr="001766D3">
        <w:rPr>
          <w:rFonts w:ascii="Garamond" w:hAnsi="Garamond"/>
        </w:rPr>
        <w:t>The first step</w:t>
      </w:r>
      <w:r w:rsidR="00F50E65" w:rsidRPr="001766D3">
        <w:rPr>
          <w:rFonts w:ascii="Garamond" w:hAnsi="Garamond"/>
        </w:rPr>
        <w:t>,</w:t>
      </w:r>
      <w:r w:rsidR="006D450B" w:rsidRPr="001766D3">
        <w:rPr>
          <w:rFonts w:ascii="Garamond" w:hAnsi="Garamond"/>
        </w:rPr>
        <w:t xml:space="preserve"> using models</w:t>
      </w:r>
      <w:r w:rsidR="00F50E65" w:rsidRPr="001766D3">
        <w:rPr>
          <w:rFonts w:ascii="Garamond" w:hAnsi="Garamond"/>
        </w:rPr>
        <w:t xml:space="preserve"> from </w:t>
      </w:r>
      <w:r w:rsidR="006518CE" w:rsidRPr="001766D3">
        <w:rPr>
          <w:rFonts w:ascii="Garamond" w:hAnsi="Garamond"/>
        </w:rPr>
        <w:t>D</w:t>
      </w:r>
      <w:r w:rsidR="00F50E65" w:rsidRPr="001766D3">
        <w:rPr>
          <w:rFonts w:ascii="Garamond" w:hAnsi="Garamond"/>
        </w:rPr>
        <w:t xml:space="preserve">ata </w:t>
      </w:r>
      <w:r w:rsidR="006518CE" w:rsidRPr="001766D3">
        <w:rPr>
          <w:rFonts w:ascii="Garamond" w:hAnsi="Garamond"/>
        </w:rPr>
        <w:t>A</w:t>
      </w:r>
      <w:r w:rsidR="00F50E65" w:rsidRPr="001766D3">
        <w:rPr>
          <w:rFonts w:ascii="Garamond" w:hAnsi="Garamond"/>
        </w:rPr>
        <w:t xml:space="preserve">nalytics such as </w:t>
      </w:r>
      <w:r w:rsidR="006518CE" w:rsidRPr="001766D3">
        <w:rPr>
          <w:rFonts w:ascii="Garamond" w:hAnsi="Garamond"/>
        </w:rPr>
        <w:t xml:space="preserve">Classification or </w:t>
      </w:r>
      <w:r w:rsidR="00F50E65" w:rsidRPr="001766D3">
        <w:rPr>
          <w:rFonts w:ascii="Garamond" w:hAnsi="Garamond"/>
        </w:rPr>
        <w:t>Clustering,</w:t>
      </w:r>
      <w:r w:rsidR="006D450B" w:rsidRPr="001766D3">
        <w:rPr>
          <w:rFonts w:ascii="Garamond" w:hAnsi="Garamond"/>
        </w:rPr>
        <w:t xml:space="preserve"> will </w:t>
      </w:r>
      <w:r w:rsidR="00E47E98" w:rsidRPr="001766D3">
        <w:rPr>
          <w:rFonts w:ascii="Garamond" w:hAnsi="Garamond"/>
        </w:rPr>
        <w:t xml:space="preserve">use </w:t>
      </w:r>
      <w:r w:rsidR="006D450B" w:rsidRPr="001766D3">
        <w:rPr>
          <w:rFonts w:ascii="Garamond" w:hAnsi="Garamond"/>
        </w:rPr>
        <w:t xml:space="preserve">these outside </w:t>
      </w:r>
      <w:r w:rsidR="00E47E98" w:rsidRPr="001766D3">
        <w:rPr>
          <w:rFonts w:ascii="Garamond" w:hAnsi="Garamond"/>
        </w:rPr>
        <w:t>factors to “fingerprint” projects and group them into reference classes.</w:t>
      </w:r>
      <w:r w:rsidR="000D52D2" w:rsidRPr="001766D3">
        <w:rPr>
          <w:rFonts w:ascii="Garamond" w:hAnsi="Garamond"/>
        </w:rPr>
        <w:t xml:space="preserve"> Project specific “inside” factors identified in previous literature include </w:t>
      </w:r>
      <w:bookmarkStart w:id="0" w:name="_Hlk33458633"/>
      <w:r w:rsidR="004E4FF5" w:rsidRPr="001766D3">
        <w:rPr>
          <w:rFonts w:ascii="Garamond" w:hAnsi="Garamond"/>
        </w:rPr>
        <w:t>s</w:t>
      </w:r>
      <w:r w:rsidR="000D52D2" w:rsidRPr="001766D3">
        <w:rPr>
          <w:rFonts w:ascii="Garamond" w:hAnsi="Garamond"/>
        </w:rPr>
        <w:t>ize, Front End Loading, techn</w:t>
      </w:r>
      <w:r w:rsidR="004E4FF5" w:rsidRPr="001766D3">
        <w:rPr>
          <w:rFonts w:ascii="Garamond" w:hAnsi="Garamond"/>
        </w:rPr>
        <w:t>ical novelty</w:t>
      </w:r>
      <w:r w:rsidR="000D52D2" w:rsidRPr="001766D3">
        <w:rPr>
          <w:rFonts w:ascii="Garamond" w:hAnsi="Garamond"/>
        </w:rPr>
        <w:t xml:space="preserve">, continuity </w:t>
      </w:r>
      <w:bookmarkEnd w:id="0"/>
      <w:r w:rsidR="000D52D2" w:rsidRPr="001766D3">
        <w:rPr>
          <w:rFonts w:ascii="Garamond" w:hAnsi="Garamond"/>
        </w:rPr>
        <w:t>etc.</w:t>
      </w:r>
      <w:r w:rsidR="00BB6C8E" w:rsidRPr="001766D3">
        <w:rPr>
          <w:rFonts w:ascii="Garamond" w:hAnsi="Garamond"/>
        </w:rPr>
        <w:t xml:space="preserve"> Behavioral factors identified for megaprojects such as optimism bias and strategic misrepresentation are also relevant and can be related to relationships and cross-national or cross-cultural factors across the project contractual </w:t>
      </w:r>
      <w:r w:rsidR="004E4FF5" w:rsidRPr="001766D3">
        <w:rPr>
          <w:rFonts w:ascii="Garamond" w:hAnsi="Garamond"/>
        </w:rPr>
        <w:t xml:space="preserve">&amp; stakeholder </w:t>
      </w:r>
      <w:r w:rsidR="00BB6C8E" w:rsidRPr="001766D3">
        <w:rPr>
          <w:rFonts w:ascii="Garamond" w:hAnsi="Garamond"/>
        </w:rPr>
        <w:t>network.</w:t>
      </w:r>
      <w:r w:rsidR="000D52D2" w:rsidRPr="001766D3">
        <w:rPr>
          <w:rFonts w:ascii="Garamond" w:hAnsi="Garamond"/>
        </w:rPr>
        <w:t xml:space="preserve"> </w:t>
      </w:r>
      <w:r w:rsidR="00E47E98" w:rsidRPr="001766D3">
        <w:rPr>
          <w:rFonts w:ascii="Garamond" w:hAnsi="Garamond"/>
        </w:rPr>
        <w:t xml:space="preserve">The second step will use ensemble models to aggregate models that may use Neural </w:t>
      </w:r>
      <w:r w:rsidR="000D52D2" w:rsidRPr="001766D3">
        <w:rPr>
          <w:rFonts w:ascii="Garamond" w:hAnsi="Garamond"/>
        </w:rPr>
        <w:t>Networks</w:t>
      </w:r>
      <w:r w:rsidR="00E47E98" w:rsidRPr="001766D3">
        <w:rPr>
          <w:rFonts w:ascii="Garamond" w:hAnsi="Garamond"/>
        </w:rPr>
        <w:t>, Regression Trees, or Bayesian Networks</w:t>
      </w:r>
      <w:r w:rsidR="00C344D2" w:rsidRPr="001766D3">
        <w:rPr>
          <w:rFonts w:ascii="Garamond" w:hAnsi="Garamond"/>
        </w:rPr>
        <w:t>. These models will</w:t>
      </w:r>
      <w:r w:rsidR="00E47E98" w:rsidRPr="001766D3">
        <w:rPr>
          <w:rFonts w:ascii="Garamond" w:hAnsi="Garamond"/>
        </w:rPr>
        <w:t xml:space="preserve"> use the </w:t>
      </w:r>
      <w:r w:rsidR="000D52D2" w:rsidRPr="001766D3">
        <w:rPr>
          <w:rFonts w:ascii="Garamond" w:hAnsi="Garamond"/>
        </w:rPr>
        <w:t xml:space="preserve">inside factors </w:t>
      </w:r>
      <w:r w:rsidR="00C344D2" w:rsidRPr="001766D3">
        <w:rPr>
          <w:rFonts w:ascii="Garamond" w:hAnsi="Garamond"/>
        </w:rPr>
        <w:t xml:space="preserve">as inputs and the </w:t>
      </w:r>
      <w:r w:rsidR="00E47E98" w:rsidRPr="001766D3">
        <w:rPr>
          <w:rFonts w:ascii="Garamond" w:hAnsi="Garamond"/>
        </w:rPr>
        <w:t>distributional dat</w:t>
      </w:r>
      <w:r w:rsidR="000D52D2" w:rsidRPr="001766D3">
        <w:rPr>
          <w:rFonts w:ascii="Garamond" w:hAnsi="Garamond"/>
        </w:rPr>
        <w:t>a</w:t>
      </w:r>
      <w:r w:rsidR="00E47E98" w:rsidRPr="001766D3">
        <w:rPr>
          <w:rFonts w:ascii="Garamond" w:hAnsi="Garamond"/>
        </w:rPr>
        <w:t xml:space="preserve"> </w:t>
      </w:r>
      <w:r w:rsidR="00C344D2" w:rsidRPr="001766D3">
        <w:rPr>
          <w:rFonts w:ascii="Garamond" w:hAnsi="Garamond"/>
        </w:rPr>
        <w:t>in the project’s reference class as training data</w:t>
      </w:r>
      <w:r w:rsidR="00E30DBB" w:rsidRPr="001766D3">
        <w:rPr>
          <w:rFonts w:ascii="Garamond" w:hAnsi="Garamond"/>
        </w:rPr>
        <w:t xml:space="preserve"> to predict </w:t>
      </w:r>
      <w:r w:rsidR="008D7914" w:rsidRPr="001766D3">
        <w:rPr>
          <w:rFonts w:ascii="Garamond" w:hAnsi="Garamond"/>
        </w:rPr>
        <w:t xml:space="preserve">specific cost and schedule </w:t>
      </w:r>
      <w:r w:rsidR="00E30DBB" w:rsidRPr="001766D3">
        <w:rPr>
          <w:rFonts w:ascii="Garamond" w:hAnsi="Garamond"/>
        </w:rPr>
        <w:t>uplifts</w:t>
      </w:r>
      <w:r w:rsidR="00C344D2" w:rsidRPr="001766D3">
        <w:rPr>
          <w:rFonts w:ascii="Garamond" w:hAnsi="Garamond"/>
        </w:rPr>
        <w:t>.</w:t>
      </w:r>
      <w:r w:rsidR="001123B0" w:rsidRPr="001766D3">
        <w:rPr>
          <w:rFonts w:ascii="Garamond" w:hAnsi="Garamond"/>
        </w:rPr>
        <w:t xml:space="preserve"> Projects in a reference class will be subdivided into training and test data as before.</w:t>
      </w:r>
    </w:p>
    <w:p w14:paraId="4838D59C" w14:textId="64FE410E" w:rsidR="0009741A" w:rsidRPr="001766D3" w:rsidRDefault="0009741A">
      <w:pPr>
        <w:rPr>
          <w:rFonts w:ascii="Garamond" w:hAnsi="Garamond"/>
        </w:rPr>
      </w:pPr>
      <w:r w:rsidRPr="001766D3">
        <w:rPr>
          <w:rFonts w:ascii="Garamond" w:hAnsi="Garamond"/>
        </w:rPr>
        <w:t xml:space="preserve">The 2 approaches of using conventional RCF to forecast uplifts within desired certainty </w:t>
      </w:r>
      <w:r w:rsidR="00635A93" w:rsidRPr="001766D3">
        <w:rPr>
          <w:rFonts w:ascii="Garamond" w:hAnsi="Garamond"/>
        </w:rPr>
        <w:t>percentile</w:t>
      </w:r>
      <w:r w:rsidR="003D4333" w:rsidRPr="001766D3">
        <w:rPr>
          <w:rFonts w:ascii="Garamond" w:hAnsi="Garamond"/>
        </w:rPr>
        <w:t>s</w:t>
      </w:r>
      <w:r w:rsidR="0018455B" w:rsidRPr="001766D3">
        <w:rPr>
          <w:rFonts w:ascii="Garamond" w:hAnsi="Garamond"/>
        </w:rPr>
        <w:t>,</w:t>
      </w:r>
      <w:r w:rsidRPr="001766D3">
        <w:rPr>
          <w:rFonts w:ascii="Garamond" w:hAnsi="Garamond"/>
        </w:rPr>
        <w:t xml:space="preserve"> and </w:t>
      </w:r>
      <w:r w:rsidR="00FC5270" w:rsidRPr="001766D3">
        <w:rPr>
          <w:rFonts w:ascii="Garamond" w:hAnsi="Garamond"/>
        </w:rPr>
        <w:t>M</w:t>
      </w:r>
      <w:r w:rsidR="00F46861" w:rsidRPr="001766D3">
        <w:rPr>
          <w:rFonts w:ascii="Garamond" w:hAnsi="Garamond"/>
        </w:rPr>
        <w:t xml:space="preserve">achine </w:t>
      </w:r>
      <w:r w:rsidR="00FC5270" w:rsidRPr="001766D3">
        <w:rPr>
          <w:rFonts w:ascii="Garamond" w:hAnsi="Garamond"/>
        </w:rPr>
        <w:t>L</w:t>
      </w:r>
      <w:r w:rsidR="00F46861" w:rsidRPr="001766D3">
        <w:rPr>
          <w:rFonts w:ascii="Garamond" w:hAnsi="Garamond"/>
        </w:rPr>
        <w:t xml:space="preserve">earning using a reference class to make </w:t>
      </w:r>
      <w:r w:rsidR="00222C0D" w:rsidRPr="001766D3">
        <w:rPr>
          <w:rFonts w:ascii="Garamond" w:hAnsi="Garamond"/>
        </w:rPr>
        <w:t xml:space="preserve">a </w:t>
      </w:r>
      <w:r w:rsidR="00F46861" w:rsidRPr="001766D3">
        <w:rPr>
          <w:rFonts w:ascii="Garamond" w:hAnsi="Garamond"/>
        </w:rPr>
        <w:t xml:space="preserve">specific prediction, </w:t>
      </w:r>
      <w:r w:rsidRPr="001766D3">
        <w:rPr>
          <w:rFonts w:ascii="Garamond" w:hAnsi="Garamond"/>
        </w:rPr>
        <w:t xml:space="preserve">will be compared </w:t>
      </w:r>
      <w:r w:rsidR="00F46861" w:rsidRPr="001766D3">
        <w:rPr>
          <w:rFonts w:ascii="Garamond" w:hAnsi="Garamond"/>
        </w:rPr>
        <w:t>t</w:t>
      </w:r>
      <w:r w:rsidRPr="001766D3">
        <w:rPr>
          <w:rFonts w:ascii="Garamond" w:hAnsi="Garamond"/>
        </w:rPr>
        <w:t>o conventional estimation process</w:t>
      </w:r>
      <w:r w:rsidR="00F46861" w:rsidRPr="001766D3">
        <w:rPr>
          <w:rFonts w:ascii="Garamond" w:hAnsi="Garamond"/>
        </w:rPr>
        <w:t>es</w:t>
      </w:r>
      <w:r w:rsidRPr="001766D3">
        <w:rPr>
          <w:rFonts w:ascii="Garamond" w:hAnsi="Garamond"/>
        </w:rPr>
        <w:t xml:space="preserve"> in the Oil and Gas Industry. They will also be compared with ea</w:t>
      </w:r>
      <w:r w:rsidR="00F46861" w:rsidRPr="001766D3">
        <w:rPr>
          <w:rFonts w:ascii="Garamond" w:hAnsi="Garamond"/>
        </w:rPr>
        <w:t>c</w:t>
      </w:r>
      <w:r w:rsidRPr="001766D3">
        <w:rPr>
          <w:rFonts w:ascii="Garamond" w:hAnsi="Garamond"/>
        </w:rPr>
        <w:t>h other</w:t>
      </w:r>
      <w:r w:rsidR="007E7FC0" w:rsidRPr="001766D3">
        <w:rPr>
          <w:rFonts w:ascii="Garamond" w:hAnsi="Garamond"/>
        </w:rPr>
        <w:t>, and their use in conjunction will be explored</w:t>
      </w:r>
      <w:r w:rsidRPr="001766D3">
        <w:rPr>
          <w:rFonts w:ascii="Garamond" w:hAnsi="Garamond"/>
        </w:rPr>
        <w:t xml:space="preserve">. </w:t>
      </w:r>
      <w:r w:rsidR="00F11C69" w:rsidRPr="001766D3">
        <w:rPr>
          <w:rFonts w:ascii="Garamond" w:hAnsi="Garamond"/>
        </w:rPr>
        <w:t xml:space="preserve">For instance, fat tails in the distributional data could be weighted using outputs from the </w:t>
      </w:r>
      <w:r w:rsidR="00FC5270" w:rsidRPr="001766D3">
        <w:rPr>
          <w:rFonts w:ascii="Garamond" w:hAnsi="Garamond"/>
        </w:rPr>
        <w:t>ML</w:t>
      </w:r>
      <w:r w:rsidR="00F11C69" w:rsidRPr="001766D3">
        <w:rPr>
          <w:rFonts w:ascii="Garamond" w:hAnsi="Garamond"/>
        </w:rPr>
        <w:t xml:space="preserve"> models.</w:t>
      </w:r>
      <w:r w:rsidR="00F950A8" w:rsidRPr="001766D3">
        <w:rPr>
          <w:rFonts w:ascii="Garamond" w:hAnsi="Garamond"/>
        </w:rPr>
        <w:t xml:space="preserve"> </w:t>
      </w:r>
      <w:r w:rsidRPr="001766D3">
        <w:rPr>
          <w:rFonts w:ascii="Garamond" w:hAnsi="Garamond"/>
        </w:rPr>
        <w:t xml:space="preserve">It is observed that the availability of larger data sets can make the use of </w:t>
      </w:r>
      <w:r w:rsidR="00FC5270" w:rsidRPr="001766D3">
        <w:rPr>
          <w:rFonts w:ascii="Garamond" w:hAnsi="Garamond"/>
        </w:rPr>
        <w:t>ML</w:t>
      </w:r>
      <w:r w:rsidRPr="001766D3">
        <w:rPr>
          <w:rFonts w:ascii="Garamond" w:hAnsi="Garamond"/>
        </w:rPr>
        <w:t xml:space="preserve"> approaches more accurate in the future. But this </w:t>
      </w:r>
      <w:r w:rsidR="00F46861" w:rsidRPr="001766D3">
        <w:rPr>
          <w:rFonts w:ascii="Garamond" w:hAnsi="Garamond"/>
        </w:rPr>
        <w:t>work will provide a model for adapting</w:t>
      </w:r>
      <w:r w:rsidRPr="001766D3">
        <w:rPr>
          <w:rFonts w:ascii="Garamond" w:hAnsi="Garamond"/>
        </w:rPr>
        <w:t xml:space="preserve"> proven RCF methods with </w:t>
      </w:r>
      <w:r w:rsidR="00FC5270" w:rsidRPr="001766D3">
        <w:rPr>
          <w:rFonts w:ascii="Garamond" w:hAnsi="Garamond"/>
        </w:rPr>
        <w:t>ML</w:t>
      </w:r>
      <w:r w:rsidRPr="001766D3">
        <w:rPr>
          <w:rFonts w:ascii="Garamond" w:hAnsi="Garamond"/>
        </w:rPr>
        <w:t xml:space="preserve"> methods</w:t>
      </w:r>
      <w:r w:rsidR="00FC5270" w:rsidRPr="001766D3">
        <w:rPr>
          <w:rFonts w:ascii="Garamond" w:hAnsi="Garamond"/>
        </w:rPr>
        <w:t>, and lead to further research</w:t>
      </w:r>
      <w:r w:rsidR="00804251" w:rsidRPr="001766D3">
        <w:rPr>
          <w:rFonts w:ascii="Garamond" w:hAnsi="Garamond"/>
        </w:rPr>
        <w:t xml:space="preserve"> on methods and application</w:t>
      </w:r>
      <w:r w:rsidR="00F46861" w:rsidRPr="001766D3">
        <w:rPr>
          <w:rFonts w:ascii="Garamond" w:hAnsi="Garamond"/>
        </w:rPr>
        <w:t>.</w:t>
      </w:r>
      <w:r w:rsidRPr="001766D3">
        <w:rPr>
          <w:rFonts w:ascii="Garamond" w:hAnsi="Garamond"/>
        </w:rPr>
        <w:t xml:space="preserve"> </w:t>
      </w:r>
      <w:r w:rsidR="0086430C">
        <w:rPr>
          <w:rFonts w:ascii="Garamond" w:hAnsi="Garamond"/>
        </w:rPr>
        <w:t xml:space="preserve">This work will result in models and methods to apply RCF using Machine Learning </w:t>
      </w:r>
      <w:r w:rsidR="000C7610">
        <w:rPr>
          <w:rFonts w:ascii="Garamond" w:hAnsi="Garamond"/>
        </w:rPr>
        <w:t>algorithms</w:t>
      </w:r>
      <w:r w:rsidR="0086430C">
        <w:rPr>
          <w:rFonts w:ascii="Garamond" w:hAnsi="Garamond"/>
        </w:rPr>
        <w:t xml:space="preserve"> as well as hypothesis</w:t>
      </w:r>
      <w:r w:rsidR="000C7610">
        <w:rPr>
          <w:rFonts w:ascii="Garamond" w:hAnsi="Garamond"/>
        </w:rPr>
        <w:t xml:space="preserve"> </w:t>
      </w:r>
      <w:r w:rsidR="00896D7D">
        <w:rPr>
          <w:rFonts w:ascii="Garamond" w:hAnsi="Garamond"/>
        </w:rPr>
        <w:t>to be tested, validated, and extended in further wor</w:t>
      </w:r>
      <w:r w:rsidR="000C7610">
        <w:rPr>
          <w:rFonts w:ascii="Garamond" w:hAnsi="Garamond"/>
        </w:rPr>
        <w:t xml:space="preserve">k. </w:t>
      </w:r>
    </w:p>
    <w:p w14:paraId="5109BD03" w14:textId="5D91AD84" w:rsidR="00C455AA" w:rsidRDefault="002C4FF7">
      <w:r>
        <w:rPr>
          <w:noProof/>
        </w:rPr>
        <w:drawing>
          <wp:inline distT="0" distB="0" distL="0" distR="0" wp14:anchorId="38BA7EC4" wp14:editId="6F2AF3A9">
            <wp:extent cx="5943600" cy="3888105"/>
            <wp:effectExtent l="0" t="0" r="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CF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14:paraId="3769E005" w14:textId="7471998C" w:rsidR="00C455AA" w:rsidRPr="008830FB" w:rsidRDefault="00C455AA" w:rsidP="00C455AA">
      <w:pPr>
        <w:jc w:val="center"/>
        <w:rPr>
          <w:rFonts w:ascii="Garamond" w:hAnsi="Garamond"/>
        </w:rPr>
      </w:pPr>
      <w:r w:rsidRPr="008830FB">
        <w:rPr>
          <w:rFonts w:ascii="Garamond" w:hAnsi="Garamond"/>
        </w:rPr>
        <w:t>Fig-1: Dissertation Plan</w:t>
      </w:r>
    </w:p>
    <w:sdt>
      <w:sdtPr>
        <w:rPr>
          <w:rFonts w:ascii="Cambria" w:eastAsiaTheme="minorHAnsi" w:hAnsi="Cambria" w:cstheme="minorBidi"/>
          <w:color w:val="000000" w:themeColor="text1"/>
          <w:sz w:val="22"/>
          <w:szCs w:val="22"/>
        </w:rPr>
        <w:id w:val="-1404915078"/>
        <w:docPartObj>
          <w:docPartGallery w:val="Bibliographies"/>
          <w:docPartUnique/>
        </w:docPartObj>
      </w:sdtPr>
      <w:sdtEndPr>
        <w:rPr>
          <w:rFonts w:asciiTheme="minorHAnsi" w:hAnsiTheme="minorHAnsi"/>
          <w:color w:val="auto"/>
        </w:rPr>
      </w:sdtEndPr>
      <w:sdtContent>
        <w:p w14:paraId="5A009AF7" w14:textId="77777777" w:rsidR="00EF7099" w:rsidRPr="00E652EE" w:rsidRDefault="00EF7099">
          <w:pPr>
            <w:pStyle w:val="Heading1"/>
            <w:rPr>
              <w:rFonts w:ascii="Cambria" w:hAnsi="Cambria"/>
              <w:color w:val="000000" w:themeColor="text1"/>
            </w:rPr>
          </w:pPr>
          <w:r w:rsidRPr="00E652EE">
            <w:rPr>
              <w:rFonts w:ascii="Cambria" w:hAnsi="Cambria"/>
              <w:color w:val="000000" w:themeColor="text1"/>
            </w:rPr>
            <w:t>References</w:t>
          </w:r>
        </w:p>
        <w:sdt>
          <w:sdtPr>
            <w:id w:val="-573587230"/>
            <w:bibliography/>
          </w:sdtPr>
          <w:sdtEndPr/>
          <w:sdtContent>
            <w:p w14:paraId="559F639C" w14:textId="77777777" w:rsidR="002E6099" w:rsidRPr="001766D3" w:rsidRDefault="00EF7099" w:rsidP="002E6099">
              <w:pPr>
                <w:pStyle w:val="Bibliography"/>
                <w:rPr>
                  <w:rFonts w:ascii="Garamond" w:hAnsi="Garamond"/>
                  <w:noProof/>
                  <w:sz w:val="24"/>
                  <w:szCs w:val="24"/>
                </w:rPr>
              </w:pPr>
              <w:r w:rsidRPr="001766D3">
                <w:rPr>
                  <w:rFonts w:ascii="Garamond" w:hAnsi="Garamond"/>
                </w:rPr>
                <w:fldChar w:fldCharType="begin"/>
              </w:r>
              <w:r w:rsidRPr="001766D3">
                <w:rPr>
                  <w:rFonts w:ascii="Garamond" w:hAnsi="Garamond"/>
                </w:rPr>
                <w:instrText xml:space="preserve"> BIBLIOGRAPHY </w:instrText>
              </w:r>
              <w:r w:rsidRPr="001766D3">
                <w:rPr>
                  <w:rFonts w:ascii="Garamond" w:hAnsi="Garamond"/>
                </w:rPr>
                <w:fldChar w:fldCharType="separate"/>
              </w:r>
              <w:r w:rsidR="002E6099" w:rsidRPr="001766D3">
                <w:rPr>
                  <w:rFonts w:ascii="Garamond" w:hAnsi="Garamond"/>
                  <w:noProof/>
                </w:rPr>
                <w:t xml:space="preserve">Flyvbjerg, B., 2006. From Nobel Prize to Project Management: Getting Risks Right. </w:t>
              </w:r>
              <w:r w:rsidR="002E6099" w:rsidRPr="001766D3">
                <w:rPr>
                  <w:rFonts w:ascii="Garamond" w:hAnsi="Garamond"/>
                  <w:i/>
                  <w:iCs/>
                  <w:noProof/>
                </w:rPr>
                <w:t xml:space="preserve">Project Management Journal, </w:t>
              </w:r>
              <w:r w:rsidR="002E6099" w:rsidRPr="001766D3">
                <w:rPr>
                  <w:rFonts w:ascii="Garamond" w:hAnsi="Garamond"/>
                  <w:noProof/>
                </w:rPr>
                <w:t>37(3), pp. 5-15.</w:t>
              </w:r>
            </w:p>
            <w:p w14:paraId="5EBD339B" w14:textId="77777777" w:rsidR="002E6099" w:rsidRPr="001766D3" w:rsidRDefault="002E6099" w:rsidP="002E6099">
              <w:pPr>
                <w:pStyle w:val="Bibliography"/>
                <w:rPr>
                  <w:rFonts w:ascii="Garamond" w:hAnsi="Garamond"/>
                  <w:noProof/>
                </w:rPr>
              </w:pPr>
              <w:r w:rsidRPr="001766D3">
                <w:rPr>
                  <w:rFonts w:ascii="Garamond" w:hAnsi="Garamond"/>
                  <w:noProof/>
                </w:rPr>
                <w:t xml:space="preserve">Flyvbjerg, B., 2014. What you should know about megaprojects and why: An overview. </w:t>
              </w:r>
              <w:r w:rsidRPr="001766D3">
                <w:rPr>
                  <w:rFonts w:ascii="Garamond" w:hAnsi="Garamond"/>
                  <w:i/>
                  <w:iCs/>
                  <w:noProof/>
                </w:rPr>
                <w:t xml:space="preserve">Project Management Journal, </w:t>
              </w:r>
              <w:r w:rsidRPr="001766D3">
                <w:rPr>
                  <w:rFonts w:ascii="Garamond" w:hAnsi="Garamond"/>
                  <w:noProof/>
                </w:rPr>
                <w:t>45(2), p. 6–19.</w:t>
              </w:r>
            </w:p>
            <w:p w14:paraId="1B71BCA5" w14:textId="77777777" w:rsidR="002E6099" w:rsidRPr="001766D3" w:rsidRDefault="002E6099" w:rsidP="002E6099">
              <w:pPr>
                <w:pStyle w:val="Bibliography"/>
                <w:rPr>
                  <w:rFonts w:ascii="Garamond" w:hAnsi="Garamond"/>
                  <w:noProof/>
                </w:rPr>
              </w:pPr>
              <w:r w:rsidRPr="001766D3">
                <w:rPr>
                  <w:rFonts w:ascii="Garamond" w:hAnsi="Garamond"/>
                  <w:noProof/>
                </w:rPr>
                <w:t xml:space="preserve">Flyvbjerg, B. et al., 2018. Five things you should know about cost overrun. </w:t>
              </w:r>
              <w:r w:rsidRPr="001766D3">
                <w:rPr>
                  <w:rFonts w:ascii="Garamond" w:hAnsi="Garamond"/>
                  <w:i/>
                  <w:iCs/>
                  <w:noProof/>
                </w:rPr>
                <w:t xml:space="preserve">Transportation Research Part A: Policy and Practice, </w:t>
              </w:r>
              <w:r w:rsidRPr="001766D3">
                <w:rPr>
                  <w:rFonts w:ascii="Garamond" w:hAnsi="Garamond"/>
                  <w:noProof/>
                </w:rPr>
                <w:t>Volume 118, pp. 174-190.</w:t>
              </w:r>
            </w:p>
            <w:p w14:paraId="755EB8AA" w14:textId="77777777" w:rsidR="002E6099" w:rsidRPr="001766D3" w:rsidRDefault="002E6099" w:rsidP="002E6099">
              <w:pPr>
                <w:pStyle w:val="Bibliography"/>
                <w:rPr>
                  <w:rFonts w:ascii="Garamond" w:hAnsi="Garamond"/>
                  <w:noProof/>
                </w:rPr>
              </w:pPr>
              <w:r w:rsidRPr="001766D3">
                <w:rPr>
                  <w:rFonts w:ascii="Garamond" w:hAnsi="Garamond"/>
                  <w:noProof/>
                </w:rPr>
                <w:t xml:space="preserve">Kahneman, D., 2012. </w:t>
              </w:r>
              <w:r w:rsidRPr="001766D3">
                <w:rPr>
                  <w:rFonts w:ascii="Garamond" w:hAnsi="Garamond"/>
                  <w:i/>
                  <w:iCs/>
                  <w:noProof/>
                </w:rPr>
                <w:t xml:space="preserve">Thinking, Fast and Slow. </w:t>
              </w:r>
              <w:r w:rsidRPr="001766D3">
                <w:rPr>
                  <w:rFonts w:ascii="Garamond" w:hAnsi="Garamond"/>
                  <w:noProof/>
                </w:rPr>
                <w:t>London: Penguin.</w:t>
              </w:r>
            </w:p>
            <w:p w14:paraId="4DDF50D6" w14:textId="77777777" w:rsidR="002E6099" w:rsidRPr="001766D3" w:rsidRDefault="002E6099" w:rsidP="002E6099">
              <w:pPr>
                <w:pStyle w:val="Bibliography"/>
                <w:rPr>
                  <w:rFonts w:ascii="Garamond" w:hAnsi="Garamond"/>
                  <w:noProof/>
                </w:rPr>
              </w:pPr>
              <w:r w:rsidRPr="001766D3">
                <w:rPr>
                  <w:rFonts w:ascii="Garamond" w:hAnsi="Garamond"/>
                  <w:noProof/>
                </w:rPr>
                <w:t xml:space="preserve">Kahneman, D. &amp; Tversky, A., 1979. Intuitive Prediction: Biases and Corrective Procedures. </w:t>
              </w:r>
              <w:r w:rsidRPr="001766D3">
                <w:rPr>
                  <w:rFonts w:ascii="Garamond" w:hAnsi="Garamond"/>
                  <w:i/>
                  <w:iCs/>
                  <w:noProof/>
                </w:rPr>
                <w:t xml:space="preserve">TIMS Studies in the Management Sciences, </w:t>
              </w:r>
              <w:r w:rsidRPr="001766D3">
                <w:rPr>
                  <w:rFonts w:ascii="Garamond" w:hAnsi="Garamond"/>
                  <w:noProof/>
                </w:rPr>
                <w:t>Issue 12, pp. 313-327.</w:t>
              </w:r>
            </w:p>
            <w:p w14:paraId="0B2CFDFC" w14:textId="77777777" w:rsidR="002E6099" w:rsidRPr="001766D3" w:rsidRDefault="002E6099" w:rsidP="002E6099">
              <w:pPr>
                <w:pStyle w:val="Bibliography"/>
                <w:rPr>
                  <w:rFonts w:ascii="Garamond" w:hAnsi="Garamond"/>
                  <w:noProof/>
                </w:rPr>
              </w:pPr>
              <w:r w:rsidRPr="001766D3">
                <w:rPr>
                  <w:rFonts w:ascii="Garamond" w:hAnsi="Garamond"/>
                  <w:noProof/>
                </w:rPr>
                <w:t xml:space="preserve">Lee, C.-Y., 2019. </w:t>
              </w:r>
              <w:r w:rsidRPr="001766D3">
                <w:rPr>
                  <w:rFonts w:ascii="Garamond" w:hAnsi="Garamond"/>
                  <w:i/>
                  <w:iCs/>
                  <w:noProof/>
                </w:rPr>
                <w:t xml:space="preserve">Integrative Trust-Based Functional Contracting: A Complementary Contractual Approach to BIM-Enabled Oil And Gas EPC Project Delivery. </w:t>
              </w:r>
              <w:r w:rsidRPr="001766D3">
                <w:rPr>
                  <w:rFonts w:ascii="Garamond" w:hAnsi="Garamond"/>
                  <w:noProof/>
                </w:rPr>
                <w:t xml:space="preserve">[Online] </w:t>
              </w:r>
              <w:r w:rsidRPr="001766D3">
                <w:rPr>
                  <w:rFonts w:ascii="Garamond" w:hAnsi="Garamond"/>
                  <w:noProof/>
                </w:rPr>
                <w:br/>
                <w:t xml:space="preserve">Available at: </w:t>
              </w:r>
              <w:r w:rsidRPr="001766D3">
                <w:rPr>
                  <w:rFonts w:ascii="Garamond" w:hAnsi="Garamond"/>
                  <w:noProof/>
                  <w:u w:val="single"/>
                </w:rPr>
                <w:t>https://espace.curtin.edu.au/bitstream/handle/20.500.11937/75059/Lee%20CY%202019.pdf?sequence=1&amp;isAllowed=y</w:t>
              </w:r>
              <w:r w:rsidRPr="001766D3">
                <w:rPr>
                  <w:rFonts w:ascii="Garamond" w:hAnsi="Garamond"/>
                  <w:noProof/>
                </w:rPr>
                <w:br/>
                <w:t>[Accessed 4 October 2019].</w:t>
              </w:r>
            </w:p>
            <w:p w14:paraId="581850A9" w14:textId="77777777" w:rsidR="002E6099" w:rsidRPr="001766D3" w:rsidRDefault="002E6099" w:rsidP="002E6099">
              <w:pPr>
                <w:pStyle w:val="Bibliography"/>
                <w:rPr>
                  <w:rFonts w:ascii="Garamond" w:hAnsi="Garamond"/>
                  <w:noProof/>
                </w:rPr>
              </w:pPr>
              <w:r w:rsidRPr="001766D3">
                <w:rPr>
                  <w:rFonts w:ascii="Garamond" w:hAnsi="Garamond"/>
                  <w:noProof/>
                </w:rPr>
                <w:t xml:space="preserve">Müller, R., 2009. </w:t>
              </w:r>
              <w:r w:rsidRPr="001766D3">
                <w:rPr>
                  <w:rFonts w:ascii="Garamond" w:hAnsi="Garamond"/>
                  <w:i/>
                  <w:iCs/>
                  <w:noProof/>
                </w:rPr>
                <w:t xml:space="preserve">Project Governance. </w:t>
              </w:r>
              <w:r w:rsidRPr="001766D3">
                <w:rPr>
                  <w:rFonts w:ascii="Garamond" w:hAnsi="Garamond"/>
                  <w:noProof/>
                </w:rPr>
                <w:t>1st ed. London: Routledge.</w:t>
              </w:r>
            </w:p>
            <w:p w14:paraId="37DB525D" w14:textId="77777777" w:rsidR="002E6099" w:rsidRPr="001766D3" w:rsidRDefault="002E6099" w:rsidP="002E6099">
              <w:pPr>
                <w:pStyle w:val="Bibliography"/>
                <w:rPr>
                  <w:rFonts w:ascii="Garamond" w:hAnsi="Garamond"/>
                  <w:noProof/>
                </w:rPr>
              </w:pPr>
              <w:r w:rsidRPr="001766D3">
                <w:rPr>
                  <w:rFonts w:ascii="Garamond" w:hAnsi="Garamond"/>
                  <w:noProof/>
                </w:rPr>
                <w:t xml:space="preserve">Merrow, E. W., 2011. </w:t>
              </w:r>
              <w:r w:rsidRPr="001766D3">
                <w:rPr>
                  <w:rFonts w:ascii="Garamond" w:hAnsi="Garamond"/>
                  <w:i/>
                  <w:iCs/>
                  <w:noProof/>
                </w:rPr>
                <w:t xml:space="preserve">Industrial megaprojects: Concepts, strategies, and practices for success. </w:t>
              </w:r>
              <w:r w:rsidRPr="001766D3">
                <w:rPr>
                  <w:rFonts w:ascii="Garamond" w:hAnsi="Garamond"/>
                  <w:noProof/>
                </w:rPr>
                <w:t>1st ed. Hoboken, NJ: John Wiley &amp; Sons.</w:t>
              </w:r>
            </w:p>
            <w:p w14:paraId="73F393FF" w14:textId="77777777" w:rsidR="002E6099" w:rsidRPr="001766D3" w:rsidRDefault="002E6099" w:rsidP="002E6099">
              <w:pPr>
                <w:pStyle w:val="Bibliography"/>
                <w:rPr>
                  <w:rFonts w:ascii="Garamond" w:hAnsi="Garamond"/>
                  <w:noProof/>
                </w:rPr>
              </w:pPr>
              <w:r w:rsidRPr="001766D3">
                <w:rPr>
                  <w:rFonts w:ascii="Garamond" w:hAnsi="Garamond"/>
                  <w:noProof/>
                </w:rPr>
                <w:t xml:space="preserve">Rui, Z. et al., 2017. Investigation into the performance of oil and gas projects. </w:t>
              </w:r>
              <w:r w:rsidRPr="001766D3">
                <w:rPr>
                  <w:rFonts w:ascii="Garamond" w:hAnsi="Garamond"/>
                  <w:i/>
                  <w:iCs/>
                  <w:noProof/>
                </w:rPr>
                <w:t xml:space="preserve">Journal of Natural Gas Science and Engineering, </w:t>
              </w:r>
              <w:r w:rsidRPr="001766D3">
                <w:rPr>
                  <w:rFonts w:ascii="Garamond" w:hAnsi="Garamond"/>
                  <w:noProof/>
                </w:rPr>
                <w:t>1(38), pp. 12-20.</w:t>
              </w:r>
            </w:p>
            <w:p w14:paraId="13D833A0" w14:textId="77777777" w:rsidR="00EF7099" w:rsidRDefault="00EF7099" w:rsidP="002E6099">
              <w:r w:rsidRPr="001766D3">
                <w:rPr>
                  <w:rFonts w:ascii="Garamond" w:hAnsi="Garamond"/>
                  <w:b/>
                  <w:bCs/>
                  <w:noProof/>
                </w:rPr>
                <w:fldChar w:fldCharType="end"/>
              </w:r>
            </w:p>
          </w:sdtContent>
        </w:sdt>
      </w:sdtContent>
    </w:sdt>
    <w:p w14:paraId="68413366" w14:textId="77777777" w:rsidR="00EF7099" w:rsidRDefault="00EF7099"/>
    <w:sectPr w:rsidR="00EF70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859EC" w14:textId="77777777" w:rsidR="002E08AB" w:rsidRDefault="002E08AB" w:rsidP="00E06CBB">
      <w:pPr>
        <w:spacing w:after="0"/>
      </w:pPr>
      <w:r>
        <w:separator/>
      </w:r>
    </w:p>
  </w:endnote>
  <w:endnote w:type="continuationSeparator" w:id="0">
    <w:p w14:paraId="5FD2D11F" w14:textId="77777777" w:rsidR="002E08AB" w:rsidRDefault="002E08AB" w:rsidP="00E06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Body CS)">
    <w:panose1 w:val="020206030504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8F5D" w14:textId="562CE971" w:rsidR="00E06CBB" w:rsidRPr="00E06CBB" w:rsidRDefault="00E06CBB" w:rsidP="00E06CBB">
    <w:pPr>
      <w:pBdr>
        <w:bottom w:val="single" w:sz="4" w:space="1" w:color="D9D9D9"/>
      </w:pBdr>
      <w:tabs>
        <w:tab w:val="center" w:pos="4680"/>
        <w:tab w:val="right" w:pos="9360"/>
      </w:tabs>
      <w:spacing w:after="0"/>
      <w:jc w:val="center"/>
      <w:rPr>
        <w:rFonts w:ascii="Cambria" w:hAnsi="Cambria"/>
        <w:b/>
        <w:bCs/>
        <w:color w:val="D0CECE"/>
        <w:spacing w:val="100"/>
        <w:sz w:val="21"/>
      </w:rPr>
    </w:pPr>
    <w:r w:rsidRPr="00E06CBB">
      <w:rPr>
        <w:rFonts w:ascii="Cambria" w:hAnsi="Cambria"/>
        <w:caps/>
        <w:color w:val="D0CECE"/>
        <w:spacing w:val="100"/>
        <w:sz w:val="21"/>
      </w:rPr>
      <w:t xml:space="preserve">Dissertation Proposal </w:t>
    </w:r>
    <w:r w:rsidR="00CE3446">
      <w:rPr>
        <w:rFonts w:ascii="Cambria" w:hAnsi="Cambria"/>
        <w:caps/>
        <w:color w:val="D0CECE"/>
        <w:spacing w:val="100"/>
        <w:sz w:val="21"/>
      </w:rPr>
      <w:t>2</w:t>
    </w:r>
    <w:r w:rsidRPr="00E06CBB">
      <w:rPr>
        <w:rFonts w:ascii="Cambria" w:hAnsi="Cambria"/>
        <w:caps/>
        <w:color w:val="D0CECE"/>
        <w:spacing w:val="100"/>
        <w:sz w:val="21"/>
      </w:rPr>
      <w:t>-pg Summary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8AED5" w14:textId="77777777" w:rsidR="002E08AB" w:rsidRDefault="002E08AB" w:rsidP="00E06CBB">
      <w:pPr>
        <w:spacing w:after="0"/>
      </w:pPr>
      <w:r>
        <w:separator/>
      </w:r>
    </w:p>
  </w:footnote>
  <w:footnote w:type="continuationSeparator" w:id="0">
    <w:p w14:paraId="2ABD3FA9" w14:textId="77777777" w:rsidR="002E08AB" w:rsidRDefault="002E08AB" w:rsidP="00E06C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DCBB0" w14:textId="77777777" w:rsidR="00E06CBB" w:rsidRPr="00E06CBB" w:rsidRDefault="00E06CBB" w:rsidP="00E06CBB">
    <w:pPr>
      <w:pBdr>
        <w:bottom w:val="single" w:sz="4" w:space="1" w:color="D9D9D9"/>
      </w:pBdr>
      <w:tabs>
        <w:tab w:val="center" w:pos="4680"/>
        <w:tab w:val="right" w:pos="9360"/>
      </w:tabs>
      <w:spacing w:after="0"/>
      <w:rPr>
        <w:rFonts w:ascii="Cambria" w:hAnsi="Cambria"/>
        <w:b/>
        <w:bCs/>
        <w:color w:val="D0CECE"/>
        <w:sz w:val="21"/>
      </w:rPr>
    </w:pPr>
    <w:r w:rsidRPr="001B6E1F">
      <w:rPr>
        <w:rFonts w:ascii="Cambria" w:hAnsi="Cambria"/>
        <w:caps/>
        <w:color w:val="D0CECE"/>
        <w:spacing w:val="60"/>
        <w:sz w:val="21"/>
      </w:rPr>
      <w:t>Ananth Natarajan</w:t>
    </w:r>
    <w:r w:rsidRPr="001B6E1F">
      <w:rPr>
        <w:rFonts w:ascii="Cambria" w:hAnsi="Cambria"/>
        <w:color w:val="D0CECE"/>
        <w:spacing w:val="60"/>
        <w:sz w:val="21"/>
      </w:rPr>
      <w:tab/>
    </w:r>
    <w:r w:rsidRPr="001B6E1F">
      <w:rPr>
        <w:rFonts w:ascii="Cambria" w:hAnsi="Cambria"/>
        <w:color w:val="D0CECE"/>
        <w:spacing w:val="60"/>
        <w:sz w:val="21"/>
      </w:rPr>
      <w:tab/>
      <w:t>Page</w:t>
    </w:r>
    <w:r w:rsidRPr="001B6E1F">
      <w:rPr>
        <w:rFonts w:ascii="Cambria" w:hAnsi="Cambria"/>
        <w:color w:val="D0CECE"/>
        <w:sz w:val="21"/>
      </w:rPr>
      <w:t xml:space="preserve"> | </w:t>
    </w:r>
    <w:r w:rsidRPr="001B6E1F">
      <w:rPr>
        <w:rStyle w:val="PageNumber"/>
        <w:rFonts w:ascii="Cambria" w:hAnsi="Cambria"/>
        <w:b/>
        <w:color w:val="D0CECE"/>
        <w:sz w:val="21"/>
        <w:szCs w:val="16"/>
      </w:rPr>
      <w:fldChar w:fldCharType="begin"/>
    </w:r>
    <w:r w:rsidRPr="001B6E1F">
      <w:rPr>
        <w:rStyle w:val="PageNumber"/>
        <w:rFonts w:ascii="Cambria" w:hAnsi="Cambria"/>
        <w:b/>
        <w:color w:val="D0CECE"/>
        <w:sz w:val="21"/>
        <w:szCs w:val="16"/>
      </w:rPr>
      <w:instrText xml:space="preserve"> PAGE </w:instrText>
    </w:r>
    <w:r w:rsidRPr="001B6E1F">
      <w:rPr>
        <w:rStyle w:val="PageNumber"/>
        <w:rFonts w:ascii="Cambria" w:hAnsi="Cambria"/>
        <w:b/>
        <w:color w:val="D0CECE"/>
        <w:sz w:val="21"/>
        <w:szCs w:val="16"/>
      </w:rPr>
      <w:fldChar w:fldCharType="separate"/>
    </w:r>
    <w:r>
      <w:rPr>
        <w:rStyle w:val="PageNumber"/>
        <w:rFonts w:ascii="Cambria" w:hAnsi="Cambria"/>
        <w:b/>
        <w:color w:val="D0CECE"/>
        <w:sz w:val="21"/>
        <w:szCs w:val="16"/>
      </w:rPr>
      <w:t>1</w:t>
    </w:r>
    <w:r w:rsidRPr="001B6E1F">
      <w:rPr>
        <w:rStyle w:val="PageNumber"/>
        <w:rFonts w:ascii="Cambria" w:hAnsi="Cambria"/>
        <w:b/>
        <w:color w:val="D0CECE"/>
        <w:sz w:val="21"/>
        <w:szCs w:val="16"/>
      </w:rPr>
      <w:fldChar w:fldCharType="end"/>
    </w:r>
    <w:r w:rsidRPr="001B6E1F">
      <w:rPr>
        <w:rStyle w:val="PageNumber"/>
        <w:rFonts w:ascii="Cambria" w:hAnsi="Cambria"/>
        <w:color w:val="D0CECE"/>
        <w:sz w:val="21"/>
        <w:szCs w:val="16"/>
      </w:rPr>
      <w:t xml:space="preserve"> of </w:t>
    </w:r>
    <w:r w:rsidRPr="001B6E1F">
      <w:rPr>
        <w:rStyle w:val="PageNumber"/>
        <w:rFonts w:ascii="Cambria" w:hAnsi="Cambria"/>
        <w:b/>
        <w:color w:val="D0CECE"/>
        <w:sz w:val="21"/>
        <w:szCs w:val="16"/>
      </w:rPr>
      <w:fldChar w:fldCharType="begin"/>
    </w:r>
    <w:r w:rsidRPr="001B6E1F">
      <w:rPr>
        <w:rStyle w:val="PageNumber"/>
        <w:rFonts w:ascii="Cambria" w:hAnsi="Cambria"/>
        <w:b/>
        <w:color w:val="D0CECE"/>
        <w:sz w:val="21"/>
        <w:szCs w:val="16"/>
      </w:rPr>
      <w:instrText xml:space="preserve"> NUMPAGES </w:instrText>
    </w:r>
    <w:r w:rsidRPr="001B6E1F">
      <w:rPr>
        <w:rStyle w:val="PageNumber"/>
        <w:rFonts w:ascii="Cambria" w:hAnsi="Cambria"/>
        <w:b/>
        <w:color w:val="D0CECE"/>
        <w:sz w:val="21"/>
        <w:szCs w:val="16"/>
      </w:rPr>
      <w:fldChar w:fldCharType="separate"/>
    </w:r>
    <w:r>
      <w:rPr>
        <w:rStyle w:val="PageNumber"/>
        <w:rFonts w:ascii="Cambria" w:hAnsi="Cambria"/>
        <w:b/>
        <w:color w:val="D0CECE"/>
        <w:sz w:val="21"/>
        <w:szCs w:val="16"/>
      </w:rPr>
      <w:t>5</w:t>
    </w:r>
    <w:r w:rsidRPr="001B6E1F">
      <w:rPr>
        <w:rStyle w:val="PageNumber"/>
        <w:rFonts w:ascii="Cambria" w:hAnsi="Cambria"/>
        <w:b/>
        <w:color w:val="D0CECE"/>
        <w:sz w:val="21"/>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99"/>
    <w:rsid w:val="00016FE5"/>
    <w:rsid w:val="00086EE1"/>
    <w:rsid w:val="0009398C"/>
    <w:rsid w:val="0009741A"/>
    <w:rsid w:val="000B7899"/>
    <w:rsid w:val="000C7610"/>
    <w:rsid w:val="000D52D2"/>
    <w:rsid w:val="000D7D13"/>
    <w:rsid w:val="000E785A"/>
    <w:rsid w:val="000F3B22"/>
    <w:rsid w:val="001123B0"/>
    <w:rsid w:val="00131B53"/>
    <w:rsid w:val="00170558"/>
    <w:rsid w:val="001766D3"/>
    <w:rsid w:val="0018455B"/>
    <w:rsid w:val="00193C87"/>
    <w:rsid w:val="001C14A5"/>
    <w:rsid w:val="001D2464"/>
    <w:rsid w:val="001D4067"/>
    <w:rsid w:val="00222C0D"/>
    <w:rsid w:val="002377DF"/>
    <w:rsid w:val="002423CE"/>
    <w:rsid w:val="002C4FF7"/>
    <w:rsid w:val="002E08AB"/>
    <w:rsid w:val="002E37AC"/>
    <w:rsid w:val="002E40FB"/>
    <w:rsid w:val="002E6099"/>
    <w:rsid w:val="003164BC"/>
    <w:rsid w:val="003218AB"/>
    <w:rsid w:val="00333B7C"/>
    <w:rsid w:val="00336123"/>
    <w:rsid w:val="003438EA"/>
    <w:rsid w:val="00354011"/>
    <w:rsid w:val="003B4586"/>
    <w:rsid w:val="003C75E2"/>
    <w:rsid w:val="003D4333"/>
    <w:rsid w:val="003D6D85"/>
    <w:rsid w:val="004058D4"/>
    <w:rsid w:val="00424878"/>
    <w:rsid w:val="00440CCF"/>
    <w:rsid w:val="0046676C"/>
    <w:rsid w:val="00474606"/>
    <w:rsid w:val="004A2786"/>
    <w:rsid w:val="004B3524"/>
    <w:rsid w:val="004E4FF5"/>
    <w:rsid w:val="005055A1"/>
    <w:rsid w:val="00526F69"/>
    <w:rsid w:val="00571AF3"/>
    <w:rsid w:val="00575708"/>
    <w:rsid w:val="00595B59"/>
    <w:rsid w:val="005A33AD"/>
    <w:rsid w:val="005A385C"/>
    <w:rsid w:val="006058B7"/>
    <w:rsid w:val="006062BF"/>
    <w:rsid w:val="00611E12"/>
    <w:rsid w:val="00635A93"/>
    <w:rsid w:val="00637702"/>
    <w:rsid w:val="00637D15"/>
    <w:rsid w:val="006518CE"/>
    <w:rsid w:val="00651ACB"/>
    <w:rsid w:val="006753D0"/>
    <w:rsid w:val="006D1266"/>
    <w:rsid w:val="006D450B"/>
    <w:rsid w:val="006D4B69"/>
    <w:rsid w:val="00734076"/>
    <w:rsid w:val="00761BB2"/>
    <w:rsid w:val="00766DF6"/>
    <w:rsid w:val="0078522B"/>
    <w:rsid w:val="00792A68"/>
    <w:rsid w:val="007C198C"/>
    <w:rsid w:val="007E7FC0"/>
    <w:rsid w:val="00801A35"/>
    <w:rsid w:val="00804251"/>
    <w:rsid w:val="008412B0"/>
    <w:rsid w:val="0086430C"/>
    <w:rsid w:val="008830FB"/>
    <w:rsid w:val="00896D7D"/>
    <w:rsid w:val="008A1040"/>
    <w:rsid w:val="008A3A3C"/>
    <w:rsid w:val="008D56D0"/>
    <w:rsid w:val="008D5846"/>
    <w:rsid w:val="008D7914"/>
    <w:rsid w:val="009114B3"/>
    <w:rsid w:val="009115BC"/>
    <w:rsid w:val="00920FC0"/>
    <w:rsid w:val="009639C0"/>
    <w:rsid w:val="0097159C"/>
    <w:rsid w:val="00976D90"/>
    <w:rsid w:val="009B1106"/>
    <w:rsid w:val="009C0BD3"/>
    <w:rsid w:val="009F5D7C"/>
    <w:rsid w:val="00A25F46"/>
    <w:rsid w:val="00A32D58"/>
    <w:rsid w:val="00A36C5B"/>
    <w:rsid w:val="00A4447E"/>
    <w:rsid w:val="00A74555"/>
    <w:rsid w:val="00A92DB2"/>
    <w:rsid w:val="00AC060F"/>
    <w:rsid w:val="00AC6EC6"/>
    <w:rsid w:val="00AF4099"/>
    <w:rsid w:val="00B10D52"/>
    <w:rsid w:val="00B57DD1"/>
    <w:rsid w:val="00B71D38"/>
    <w:rsid w:val="00B750E3"/>
    <w:rsid w:val="00BB6C8E"/>
    <w:rsid w:val="00C17196"/>
    <w:rsid w:val="00C32950"/>
    <w:rsid w:val="00C344D2"/>
    <w:rsid w:val="00C34FB5"/>
    <w:rsid w:val="00C455AA"/>
    <w:rsid w:val="00C5741A"/>
    <w:rsid w:val="00C74282"/>
    <w:rsid w:val="00C7531A"/>
    <w:rsid w:val="00C9268C"/>
    <w:rsid w:val="00CB254F"/>
    <w:rsid w:val="00CC1B81"/>
    <w:rsid w:val="00CE3446"/>
    <w:rsid w:val="00CF4C26"/>
    <w:rsid w:val="00D10948"/>
    <w:rsid w:val="00D241A1"/>
    <w:rsid w:val="00D32E46"/>
    <w:rsid w:val="00D61593"/>
    <w:rsid w:val="00D83920"/>
    <w:rsid w:val="00D83FD5"/>
    <w:rsid w:val="00D9345D"/>
    <w:rsid w:val="00DA7999"/>
    <w:rsid w:val="00DC4F5C"/>
    <w:rsid w:val="00DE2918"/>
    <w:rsid w:val="00DF2075"/>
    <w:rsid w:val="00E04B42"/>
    <w:rsid w:val="00E06CBB"/>
    <w:rsid w:val="00E176B6"/>
    <w:rsid w:val="00E30DBB"/>
    <w:rsid w:val="00E33B05"/>
    <w:rsid w:val="00E41623"/>
    <w:rsid w:val="00E47E98"/>
    <w:rsid w:val="00E652EE"/>
    <w:rsid w:val="00E77462"/>
    <w:rsid w:val="00EA0793"/>
    <w:rsid w:val="00EA3FD5"/>
    <w:rsid w:val="00EF7099"/>
    <w:rsid w:val="00F11C69"/>
    <w:rsid w:val="00F35776"/>
    <w:rsid w:val="00F44408"/>
    <w:rsid w:val="00F46861"/>
    <w:rsid w:val="00F50E65"/>
    <w:rsid w:val="00F76AB8"/>
    <w:rsid w:val="00F950A8"/>
    <w:rsid w:val="00FA1B2B"/>
    <w:rsid w:val="00FB4B50"/>
    <w:rsid w:val="00FC5270"/>
    <w:rsid w:val="00FF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1815"/>
  <w15:chartTrackingRefBased/>
  <w15:docId w15:val="{398B838F-1C3B-490E-B76B-DAD881E6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B6"/>
    <w:pPr>
      <w:spacing w:after="120" w:line="240" w:lineRule="auto"/>
      <w:jc w:val="both"/>
    </w:pPr>
  </w:style>
  <w:style w:type="paragraph" w:styleId="Heading1">
    <w:name w:val="heading 1"/>
    <w:basedOn w:val="Normal"/>
    <w:next w:val="Normal"/>
    <w:link w:val="Heading1Char"/>
    <w:uiPriority w:val="9"/>
    <w:qFormat/>
    <w:rsid w:val="00EF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F7099"/>
  </w:style>
  <w:style w:type="paragraph" w:styleId="Header">
    <w:name w:val="header"/>
    <w:basedOn w:val="Normal"/>
    <w:link w:val="HeaderChar"/>
    <w:uiPriority w:val="99"/>
    <w:unhideWhenUsed/>
    <w:rsid w:val="00E06CBB"/>
    <w:pPr>
      <w:tabs>
        <w:tab w:val="center" w:pos="4680"/>
        <w:tab w:val="right" w:pos="9360"/>
      </w:tabs>
      <w:spacing w:after="0"/>
    </w:pPr>
  </w:style>
  <w:style w:type="character" w:customStyle="1" w:styleId="HeaderChar">
    <w:name w:val="Header Char"/>
    <w:basedOn w:val="DefaultParagraphFont"/>
    <w:link w:val="Header"/>
    <w:uiPriority w:val="99"/>
    <w:rsid w:val="00E06CBB"/>
  </w:style>
  <w:style w:type="paragraph" w:styleId="Footer">
    <w:name w:val="footer"/>
    <w:basedOn w:val="Normal"/>
    <w:link w:val="FooterChar"/>
    <w:uiPriority w:val="99"/>
    <w:unhideWhenUsed/>
    <w:rsid w:val="00E06CBB"/>
    <w:pPr>
      <w:tabs>
        <w:tab w:val="center" w:pos="4680"/>
        <w:tab w:val="right" w:pos="9360"/>
      </w:tabs>
      <w:spacing w:after="0"/>
    </w:pPr>
  </w:style>
  <w:style w:type="character" w:customStyle="1" w:styleId="FooterChar">
    <w:name w:val="Footer Char"/>
    <w:basedOn w:val="DefaultParagraphFont"/>
    <w:link w:val="Footer"/>
    <w:uiPriority w:val="99"/>
    <w:rsid w:val="00E06CBB"/>
  </w:style>
  <w:style w:type="character" w:styleId="PageNumber">
    <w:name w:val="page number"/>
    <w:basedOn w:val="DefaultParagraphFont"/>
    <w:rsid w:val="00E06CBB"/>
  </w:style>
  <w:style w:type="paragraph" w:styleId="BalloonText">
    <w:name w:val="Balloon Text"/>
    <w:basedOn w:val="Normal"/>
    <w:link w:val="BalloonTextChar"/>
    <w:uiPriority w:val="99"/>
    <w:semiHidden/>
    <w:unhideWhenUsed/>
    <w:rsid w:val="00DF207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2075"/>
    <w:rPr>
      <w:rFonts w:ascii="Times New Roman" w:hAnsi="Times New Roman" w:cs="Times New Roman"/>
      <w:sz w:val="18"/>
      <w:szCs w:val="18"/>
    </w:rPr>
  </w:style>
  <w:style w:type="paragraph" w:styleId="Revision">
    <w:name w:val="Revision"/>
    <w:hidden/>
    <w:uiPriority w:val="99"/>
    <w:semiHidden/>
    <w:rsid w:val="00DF2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46807">
      <w:bodyDiv w:val="1"/>
      <w:marLeft w:val="0"/>
      <w:marRight w:val="0"/>
      <w:marTop w:val="0"/>
      <w:marBottom w:val="0"/>
      <w:divBdr>
        <w:top w:val="none" w:sz="0" w:space="0" w:color="auto"/>
        <w:left w:val="none" w:sz="0" w:space="0" w:color="auto"/>
        <w:bottom w:val="none" w:sz="0" w:space="0" w:color="auto"/>
        <w:right w:val="none" w:sz="0" w:space="0" w:color="auto"/>
      </w:divBdr>
    </w:div>
    <w:div w:id="471675443">
      <w:bodyDiv w:val="1"/>
      <w:marLeft w:val="0"/>
      <w:marRight w:val="0"/>
      <w:marTop w:val="0"/>
      <w:marBottom w:val="0"/>
      <w:divBdr>
        <w:top w:val="none" w:sz="0" w:space="0" w:color="auto"/>
        <w:left w:val="none" w:sz="0" w:space="0" w:color="auto"/>
        <w:bottom w:val="none" w:sz="0" w:space="0" w:color="auto"/>
        <w:right w:val="none" w:sz="0" w:space="0" w:color="auto"/>
      </w:divBdr>
    </w:div>
    <w:div w:id="635064328">
      <w:bodyDiv w:val="1"/>
      <w:marLeft w:val="0"/>
      <w:marRight w:val="0"/>
      <w:marTop w:val="0"/>
      <w:marBottom w:val="0"/>
      <w:divBdr>
        <w:top w:val="none" w:sz="0" w:space="0" w:color="auto"/>
        <w:left w:val="none" w:sz="0" w:space="0" w:color="auto"/>
        <w:bottom w:val="none" w:sz="0" w:space="0" w:color="auto"/>
        <w:right w:val="none" w:sz="0" w:space="0" w:color="auto"/>
      </w:divBdr>
    </w:div>
    <w:div w:id="900336443">
      <w:bodyDiv w:val="1"/>
      <w:marLeft w:val="0"/>
      <w:marRight w:val="0"/>
      <w:marTop w:val="0"/>
      <w:marBottom w:val="0"/>
      <w:divBdr>
        <w:top w:val="none" w:sz="0" w:space="0" w:color="auto"/>
        <w:left w:val="none" w:sz="0" w:space="0" w:color="auto"/>
        <w:bottom w:val="none" w:sz="0" w:space="0" w:color="auto"/>
        <w:right w:val="none" w:sz="0" w:space="0" w:color="auto"/>
      </w:divBdr>
    </w:div>
    <w:div w:id="1010527103">
      <w:bodyDiv w:val="1"/>
      <w:marLeft w:val="0"/>
      <w:marRight w:val="0"/>
      <w:marTop w:val="0"/>
      <w:marBottom w:val="0"/>
      <w:divBdr>
        <w:top w:val="none" w:sz="0" w:space="0" w:color="auto"/>
        <w:left w:val="none" w:sz="0" w:space="0" w:color="auto"/>
        <w:bottom w:val="none" w:sz="0" w:space="0" w:color="auto"/>
        <w:right w:val="none" w:sz="0" w:space="0" w:color="auto"/>
      </w:divBdr>
    </w:div>
    <w:div w:id="1025867487">
      <w:bodyDiv w:val="1"/>
      <w:marLeft w:val="0"/>
      <w:marRight w:val="0"/>
      <w:marTop w:val="0"/>
      <w:marBottom w:val="0"/>
      <w:divBdr>
        <w:top w:val="none" w:sz="0" w:space="0" w:color="auto"/>
        <w:left w:val="none" w:sz="0" w:space="0" w:color="auto"/>
        <w:bottom w:val="none" w:sz="0" w:space="0" w:color="auto"/>
        <w:right w:val="none" w:sz="0" w:space="0" w:color="auto"/>
      </w:divBdr>
    </w:div>
    <w:div w:id="1392849756">
      <w:bodyDiv w:val="1"/>
      <w:marLeft w:val="0"/>
      <w:marRight w:val="0"/>
      <w:marTop w:val="0"/>
      <w:marBottom w:val="0"/>
      <w:divBdr>
        <w:top w:val="none" w:sz="0" w:space="0" w:color="auto"/>
        <w:left w:val="none" w:sz="0" w:space="0" w:color="auto"/>
        <w:bottom w:val="none" w:sz="0" w:space="0" w:color="auto"/>
        <w:right w:val="none" w:sz="0" w:space="0" w:color="auto"/>
      </w:divBdr>
    </w:div>
    <w:div w:id="17967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Fly06</b:Tag>
    <b:SourceType>JournalArticle</b:SourceType>
    <b:Guid>{F802CE96-3E64-524B-B310-4CDF3C9548CE}</b:Guid>
    <b:Title>From Nobel Prize to Project Management: Getting Risks Right</b:Title>
    <b:JournalName>Project Management Journal</b:JournalName>
    <b:Year>2006</b:Year>
    <b:Volume>37</b:Volume>
    <b:Issue>3</b:Issue>
    <b:Pages>5-15</b:Pages>
    <b:Author>
      <b:Author>
        <b:NameList>
          <b:Person>
            <b:Last>Flyvbjerg</b:Last>
            <b:First>Bent</b:First>
          </b:Person>
        </b:NameList>
      </b:Author>
    </b:Author>
    <b:RefOrder>1</b:RefOrder>
  </b:Source>
  <b:Source>
    <b:Tag>Kah12</b:Tag>
    <b:SourceType>Book</b:SourceType>
    <b:Guid>{D66A07B9-02A3-4A9E-A8BC-B4AD0531ED04}</b:Guid>
    <b:Title>Thinking, Fast and Slow</b:Title>
    <b:Year>2012</b:Year>
    <b:BookTitle>Thinking, Fast and Slow</b:BookTitle>
    <b:City>London</b:City>
    <b:Publisher>Penguin</b:Publisher>
    <b:Author>
      <b:Author>
        <b:NameList>
          <b:Person>
            <b:Last>Kahneman</b:Last>
            <b:First>Daniel</b:First>
          </b:Person>
        </b:NameList>
      </b:Author>
    </b:Author>
    <b:RefOrder>7</b:RefOrder>
  </b:Source>
  <b:Source>
    <b:Tag>Kah79</b:Tag>
    <b:SourceType>JournalArticle</b:SourceType>
    <b:Guid>{62C2F761-0B0E-7740-A2A3-0ACDFE1EB1F2}</b:Guid>
    <b:Title>Intuitive Prediction: Biases and Corrective Procedures</b:Title>
    <b:JournalName>TIMS Studies in the Management Sciences</b:JournalName>
    <b:Year>1979</b:Year>
    <b:Issue>12</b:Issue>
    <b:Pages>313-327</b:Pages>
    <b:Author>
      <b:Author>
        <b:NameList>
          <b:Person>
            <b:Last>Kahneman</b:Last>
            <b:First>Daniel</b:First>
          </b:Person>
          <b:Person>
            <b:Last>Tversky</b:Last>
            <b:First>Amos</b:First>
          </b:Person>
        </b:NameList>
      </b:Author>
    </b:Author>
    <b:RefOrder>8</b:RefOrder>
  </b:Source>
  <b:Source>
    <b:Tag>Fly14</b:Tag>
    <b:SourceType>JournalArticle</b:SourceType>
    <b:Guid>{C71FF610-436F-4BB4-AEAE-EA1F8A157212}</b:Guid>
    <b:Title>What you should know about megaprojects and why: An overview</b:Title>
    <b:JournalName>Project Management Journal</b:JournalName>
    <b:Year>2014</b:Year>
    <b:Pages>6–19</b:Pages>
    <b:Volume>45</b:Volume>
    <b:Issue>2</b:Issue>
    <b:Author>
      <b:Author>
        <b:NameList>
          <b:Person>
            <b:Last>Flyvbjerg</b:Last>
            <b:First>Bent</b:First>
          </b:Person>
        </b:NameList>
      </b:Author>
    </b:Author>
    <b:RefOrder>4</b:RefOrder>
  </b:Source>
  <b:Source>
    <b:Tag>Lee19</b:Tag>
    <b:SourceType>DocumentFromInternetSite</b:SourceType>
    <b:Guid>{AD91E2AA-3A06-405B-A85D-15CDF6018FEA}</b:Guid>
    <b:Title>Integrative Trust-Based Functional Contracting: A Complementary Contractual Approach to BIM-Enabled Oil And Gas EPC Project Delivery</b:Title>
    <b:Year>2019</b:Year>
    <b:YearAccessed>2019</b:YearAccessed>
    <b:MonthAccessed>October</b:MonthAccessed>
    <b:DayAccessed>4</b:DayAccessed>
    <b:URL>https://espace.curtin.edu.au/bitstream/handle/20.500.11937/75059/Lee%20CY%202019.pdf?sequence=1&amp;isAllowed=y</b:URL>
    <b:Publisher>Curtin</b:Publisher>
    <b:Author>
      <b:Author>
        <b:NameList>
          <b:Person>
            <b:Last>Lee</b:Last>
            <b:First>Cen-Ying</b:First>
          </b:Person>
        </b:NameList>
      </b:Author>
    </b:Author>
    <b:RefOrder>2</b:RefOrder>
  </b:Source>
  <b:Source>
    <b:Tag>Fly18</b:Tag>
    <b:SourceType>JournalArticle</b:SourceType>
    <b:Guid>{FBC1005B-DDE4-42EB-9581-34A3C9B0221A}</b:Guid>
    <b:Title>Five things you should know about cost overrun</b:Title>
    <b:JournalName>Transportation Research Part A: Policy and Practice</b:JournalName>
    <b:Year>2018</b:Year>
    <b:Pages>174-190</b:Pages>
    <b:Volume>118</b:Volume>
    <b:Author>
      <b:Author>
        <b:NameList>
          <b:Person>
            <b:Last>Flyvbjerg</b:Last>
            <b:First>Bent</b:First>
          </b:Person>
          <b:Person>
            <b:Last>Ansar</b:Last>
            <b:First>Atif</b:First>
          </b:Person>
          <b:Person>
            <b:Last>Budzier</b:Last>
            <b:First>Alexander</b:First>
          </b:Person>
          <b:Person>
            <b:Last>Buhl</b:Last>
            <b:First>Søren</b:First>
          </b:Person>
          <b:Person>
            <b:Last>Cantarelli</b:Last>
            <b:First>Chantal</b:First>
          </b:Person>
          <b:Person>
            <b:Last>Garbuio</b:Last>
            <b:First>Massimo</b:First>
          </b:Person>
          <b:Person>
            <b:Last>Glenting</b:Last>
            <b:First>Carsten</b:First>
          </b:Person>
          <b:Person>
            <b:Last>Skamris</b:Last>
            <b:First>Mette Skamris</b:First>
          </b:Person>
          <b:Person>
            <b:Last>Lovallo</b:Last>
            <b:First>Dan</b:First>
          </b:Person>
          <b:Person>
            <b:Last>Lunn</b:Last>
            <b:First>Daniel</b:First>
          </b:Person>
          <b:Person>
            <b:Last>Molin</b:Last>
            <b:First>Eric</b:First>
          </b:Person>
          <b:Person>
            <b:Last>Rønnesti</b:Last>
            <b:First>Arne </b:First>
          </b:Person>
          <b:Person>
            <b:Last>Stewart</b:Last>
            <b:First>Allison </b:First>
          </b:Person>
          <b:Person>
            <b:Last>Wee</b:Last>
            <b:Middle>van</b:Middle>
            <b:First>Bert</b:First>
          </b:Person>
        </b:NameList>
      </b:Author>
    </b:Author>
    <b:RefOrder>5</b:RefOrder>
  </b:Source>
  <b:Source>
    <b:Tag>Mül09</b:Tag>
    <b:SourceType>Book</b:SourceType>
    <b:Guid>{5272E42B-7F89-47A8-ABF7-BF8F0A7E9D3C}</b:Guid>
    <b:Title>Project Governance</b:Title>
    <b:Year>2009</b:Year>
    <b:City>London</b:City>
    <b:Publisher>Routledge</b:Publisher>
    <b:Edition>1st</b:Edition>
    <b:Author>
      <b:Author>
        <b:NameList>
          <b:Person>
            <b:Last>Müller</b:Last>
            <b:First>Ralf</b:First>
          </b:Person>
        </b:NameList>
      </b:Author>
    </b:Author>
    <b:RefOrder>3</b:RefOrder>
  </b:Source>
  <b:Source>
    <b:Tag>Mer11</b:Tag>
    <b:SourceType>Book</b:SourceType>
    <b:Guid>{D3E8B052-8921-428F-8B16-2B5379DF9A68}</b:Guid>
    <b:Title>Industrial megaprojects: Concepts, strategies, and practices for success</b:Title>
    <b:Year>2011</b:Year>
    <b:City>Hoboken, NJ</b:City>
    <b:Publisher>John Wiley &amp; Sons</b:Publisher>
    <b:Edition>1st</b:Edition>
    <b:Author>
      <b:Author>
        <b:NameList>
          <b:Person>
            <b:Last>Merrow</b:Last>
            <b:Middle>W</b:Middle>
            <b:First>E</b:First>
          </b:Person>
        </b:NameList>
      </b:Author>
    </b:Author>
    <b:RefOrder>9</b:RefOrder>
  </b:Source>
  <b:Source>
    <b:Tag>Rui17</b:Tag>
    <b:SourceType>JournalArticle</b:SourceType>
    <b:Guid>{CB7693FD-7426-4591-A4CC-FB18D0004074}</b:Guid>
    <b:Title>Investigation into the performance of oil and gas projects</b:Title>
    <b:Year>2017</b:Year>
    <b:Author>
      <b:Author>
        <b:NameList>
          <b:Person>
            <b:Last>Rui</b:Last>
            <b:First>Zhenhua</b:First>
          </b:Person>
          <b:Person>
            <b:Last>Peng</b:Last>
            <b:First>Fei</b:First>
          </b:Person>
          <b:Person>
            <b:Last>Ling</b:Last>
            <b:First>Kegang</b:First>
          </b:Person>
          <b:Person>
            <b:Last>Chang</b:Last>
            <b:First>Hanwen</b:First>
          </b:Person>
          <b:Person>
            <b:Last>Chen</b:Last>
            <b:First>Gang</b:First>
          </b:Person>
          <b:Person>
            <b:Last>Zhou</b:Last>
            <b:First>Xiyu</b:First>
          </b:Person>
        </b:NameList>
      </b:Author>
    </b:Author>
    <b:JournalName>Journal of Natural Gas Science and Engineering</b:JournalName>
    <b:Pages>12-20</b:Pages>
    <b:Volume>1</b:Volume>
    <b:Issue>38</b:Issue>
    <b:RefOrder>6</b:RefOrder>
  </b:Source>
</b:Sources>
</file>

<file path=customXml/itemProps1.xml><?xml version="1.0" encoding="utf-8"?>
<ds:datastoreItem xmlns:ds="http://schemas.openxmlformats.org/officeDocument/2006/customXml" ds:itemID="{1F7A6B83-0B9F-BB49-904A-A9E5B123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Natarajan</dc:creator>
  <cp:keywords/>
  <dc:description/>
  <cp:lastModifiedBy>Ananth Natarajan</cp:lastModifiedBy>
  <cp:revision>15</cp:revision>
  <dcterms:created xsi:type="dcterms:W3CDTF">2020-05-12T01:43:00Z</dcterms:created>
  <dcterms:modified xsi:type="dcterms:W3CDTF">2020-06-04T22:42:00Z</dcterms:modified>
</cp:coreProperties>
</file>