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48"/>
          <w:szCs w:val="48"/>
        </w:rPr>
        <w:t xml:space="preserve">INCIDENT RESPONSE REPORT</w:t>
      </w:r>
    </w:p>
    <w:p>
      <w:pPr>
        <w:spacing w:after="480" w:before="240"/>
        <w:jc w:val="center"/>
      </w:pPr>
      <w:r>
        <w:rPr>
          <w:b/>
          <w:bCs/>
          <w:color w:val="9C2B2B"/>
          <w:sz w:val="28"/>
          <w:szCs w:val="28"/>
        </w:rPr>
        <w:t xml:space="preserve">CLASSIFICATION: CONFIDENTIAL</w:t>
      </w:r>
    </w:p>
    <w:p>
      <w:pPr>
        <w:pBdr>
          <w:bottom w:val="single" w:color="1F3864" w:sz="6" w:space="1"/>
        </w:pBdr>
        <w:spacing w:after="480"/>
      </w:pPr>
    </w:p>
    <w:p>
      <w:pPr>
        <w:spacing w:after="100"/>
      </w:pPr>
      <w:r>
        <w:rPr>
          <w:b/>
          <w:bCs/>
        </w:rPr>
        <w:t xml:space="preserve">Report Number: </w:t>
      </w:r>
      <w:r>
        <w:t xml:space="preserve">Not determined from available data</w:t>
      </w:r>
    </w:p>
    <w:p>
      <w:pPr>
        <w:spacing w:after="100"/>
      </w:pPr>
      <w:r>
        <w:rPr>
          <w:b/>
          <w:bCs/>
        </w:rPr>
        <w:t xml:space="preserve">Incident Date (UTC): </w:t>
      </w:r>
      <w:r>
        <w:t xml:space="preserve">2021-08-02</w:t>
      </w:r>
    </w:p>
    <w:p>
      <w:pPr>
        <w:spacing w:after="100"/>
      </w:pPr>
      <w:r>
        <w:rPr>
          <w:b/>
          <w:bCs/>
        </w:rPr>
        <w:t xml:space="preserve">Report Date: </w:t>
      </w:r>
      <w:r>
        <w:t xml:space="preserve">October 2, 2026</w:t>
      </w:r>
    </w:p>
    <w:p>
      <w:pPr>
        <w:spacing w:after="100"/>
      </w:pPr>
      <w:r>
        <w:rPr>
          <w:b/>
          <w:bCs/>
        </w:rPr>
        <w:t xml:space="preserve">Data Source: </w:t>
      </w:r>
      <w:r>
        <w:t xml:space="preserve">OTRF/SimuLand lab dataset (Microsoft SimuLand Golden SAML scenario)</w:t>
      </w:r>
    </w:p>
    <w:p>
      <w:pPr>
        <w:spacing w:after="100"/>
      </w:pPr>
      <w:r>
        <w:rPr>
          <w:b/>
          <w:bCs/>
        </w:rPr>
        <w:t xml:space="preserve">Source Files: </w:t>
      </w:r>
      <w:r>
        <w:t xml:space="preserve">correlation.md, checkpoint-phase1.md</w:t>
      </w:r>
    </w:p>
    <w:p>
      <w:pPr>
        <w:spacing w:after="100"/>
      </w:pPr>
      <w:r>
        <w:rPr>
          <w:b/>
          <w:bCs/>
        </w:rPr>
        <w:t xml:space="preserve">Prepared By: </w:t>
      </w:r>
      <w:r>
        <w:t xml:space="preserve">Not determined from available data</w:t>
      </w:r>
    </w:p>
    <w:p>
      <w:pPr>
        <w:spacing w:before="480"/>
      </w:pPr>
      <w:r>
        <w:rPr>
          <w:i/>
          <w:iCs/>
          <w:color w:val="595959"/>
          <w:sz w:val="20"/>
          <w:szCs w:val="20"/>
        </w:rPr>
        <w:t xml:space="preserve">This report is based solely on the attached investigation summary derived from the sources above. Where the underlying data did not address a required section, that section is marked “Not determined from available data.” Confidence levels are reproduced exactly as stated in the source material.</w:t>
      </w:r>
    </w:p>
    <w:p>
      <w:r>
        <w:br w:type="page"/>
      </w:r>
    </w:p>
    <w:p>
      <w:pPr>
        <w:pStyle w:val="Heading1"/>
        <w:spacing w:after="180" w:before="360"/>
      </w:pPr>
      <w:r>
        <w:rPr>
          <w:b/>
          <w:bCs/>
          <w:color w:val="1F386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rPr>
          <w:b/>
          <w:bCs/>
          <w:color w:val="1F3864"/>
        </w:rPr>
        <w:t xml:space="preserve">1. Executive Summary</w:t>
      </w:r>
    </w:p>
    <w:p>
      <w:pPr>
        <w:pStyle w:val="Heading2"/>
        <w:spacing w:after="140" w:before="280"/>
      </w:pPr>
      <w:r>
        <w:rPr>
          <w:b/>
          <w:bCs/>
          <w:color w:val="1F3864"/>
        </w:rPr>
        <w:t xml:space="preserve">What Happened</w:t>
      </w:r>
    </w:p>
    <w:p>
      <w:pPr>
        <w:spacing w:after="160"/>
      </w:pPr>
      <w:r>
        <w:t xml:space="preserve">The investigation identified a two-phase hybrid identity attack. In the on-premises phase (13:05–13:13 UTC), the account SIMULANDLABS\wardog (built-in Administrator, RID 500), working from host ADFS01, extracted the AD FS token-signing configuration and the DKM master key needed to decrypt it. In the cloud phase (13:25–13:32 UTC), acting as pgustavo@simulandlabs.com through scripted PowerShell, the attacker granted the application SimuLandApp tenant-wide Microsoft Graph Mail.ReadWrite permission, added a backdoor client secret, and read pgustavo's Inbox.</w:t>
      </w:r>
    </w:p>
    <w:p>
      <w:pPr>
        <w:spacing w:after="160"/>
      </w:pPr>
      <w:r>
        <w:t xml:space="preserve">The step linking the two phases (13:15–13:25 UTC) was not observed in either data source. The two phases being part of one campaign is assessed with Medium confidence. That Golden SAML (a forged token) was the mechanism connecting them is assessed with Low confidence — the attacker may instead have used pgustavo's real credentials. The initial access vector is unknown.</w:t>
      </w:r>
    </w:p>
    <w:p>
      <w:pPr>
        <w:pStyle w:val="Heading2"/>
        <w:spacing w:after="140" w:before="280"/>
      </w:pPr>
      <w:r>
        <w:rPr>
          <w:b/>
          <w:bCs/>
          <w:color w:val="1F3864"/>
        </w:rPr>
        <w:t xml:space="preserve">Business Impact</w:t>
      </w:r>
    </w:p>
    <w:p>
      <w:pPr>
        <w:spacing w:after="160"/>
      </w:pPr>
      <w:r>
        <w:t xml:space="preserve">Based on the available data: the material extracted on-premises is sufficient to forge SAML tokens for any federated user in the tenant, and SimuLandApp now holds tenant-wide Mail.ReadWrite consent plus its own credential — a backdoor that would survive a password reset for pgustavo or a routine AD FS certificate rotation. Confirmed data access is limited to 7 messages in pgustavo's Inbox; access to other mailboxes and any use of the SimuLandCreds secret are unknown.</w:t>
      </w:r>
    </w:p>
    <w:p>
      <w:pPr>
        <w:spacing w:after="160"/>
      </w:pPr>
      <w:r>
        <w:rPr>
          <w:b/>
          <w:bCs/>
        </w:rPr>
        <w:t xml:space="preserve">Broader business operations impact (financial, operational, or reputational): </w:t>
      </w:r>
      <w:r>
        <w:rPr>
          <w:i/>
          <w:iCs/>
          <w:color w:val="595959"/>
        </w:rPr>
        <w:t xml:space="preserve">Not determined from available data</w:t>
      </w:r>
    </w:p>
    <w:p>
      <w:pPr>
        <w:pStyle w:val="Heading2"/>
        <w:spacing w:after="140" w:before="280"/>
      </w:pPr>
      <w:r>
        <w:rPr>
          <w:b/>
          <w:bCs/>
          <w:color w:val="1F3864"/>
        </w:rPr>
        <w:t xml:space="preserve">Current Status</w:t>
      </w:r>
    </w:p>
    <w:p>
      <w:pPr>
        <w:spacing w:after="160"/>
      </w:pPr>
      <w:r>
        <w:rPr>
          <w:b/>
          <w:bCs/>
        </w:rPr>
        <w:t xml:space="preserve">Current containment / remediation status: </w:t>
      </w:r>
      <w:r>
        <w:rPr>
          <w:i/>
          <w:iCs/>
          <w:color w:val="595959"/>
        </w:rPr>
        <w:t xml:space="preserve">Not determined from available data</w:t>
      </w:r>
    </w:p>
    <w:p>
      <w:pPr>
        <w:pStyle w:val="Heading2"/>
        <w:spacing w:after="140" w:before="280"/>
      </w:pPr>
      <w:r>
        <w:rPr>
          <w:b/>
          <w:bCs/>
          <w:color w:val="1F3864"/>
        </w:rPr>
        <w:t xml:space="preserve">Key Recommendations</w:t>
      </w:r>
    </w:p>
    <w:p>
      <w:pPr>
        <w:pStyle w:val="ListParagraph"/>
        <w:numPr>
          <w:ilvl w:val="0"/>
          <w:numId w:val="2"/>
        </w:numPr>
        <w:spacing w:after="100"/>
      </w:pPr>
      <w:r>
        <w:t xml:space="preserve">Remove the SimuLandCreds secret and revoke the AllPrincipals grant on SimuLandApp.</w:t>
      </w:r>
    </w:p>
    <w:p>
      <w:pPr>
        <w:pStyle w:val="ListParagraph"/>
        <w:numPr>
          <w:ilvl w:val="0"/>
          <w:numId w:val="2"/>
        </w:numPr>
        <w:spacing w:after="100"/>
      </w:pPr>
      <w:r>
        <w:t xml:space="preserve">Revoke pgustavo's sessions and reset the account's credentials.</w:t>
      </w:r>
    </w:p>
    <w:p>
      <w:pPr>
        <w:pStyle w:val="ListParagraph"/>
        <w:numPr>
          <w:ilvl w:val="0"/>
          <w:numId w:val="2"/>
        </w:numPr>
        <w:spacing w:after="100"/>
      </w:pPr>
      <w:r>
        <w:t xml:space="preserve">Rotate the AD FS token-signing and token-decryption certificates twice.</w:t>
      </w:r>
    </w:p>
    <w:p>
      <w:pPr>
        <w:pStyle w:val="ListParagraph"/>
        <w:numPr>
          <w:ilvl w:val="0"/>
          <w:numId w:val="2"/>
        </w:numPr>
        <w:spacing w:after="100"/>
      </w:pPr>
      <w:r>
        <w:t xml:space="preserve">Reset the wardog / built-in Administrator account.</w:t>
      </w:r>
    </w:p>
    <w:p>
      <w:r>
        <w:br w:type="page"/>
      </w:r>
    </w:p>
    <w:p>
      <w:pPr>
        <w:pStyle w:val="Heading1"/>
        <w:spacing w:after="180" w:before="360"/>
      </w:pPr>
      <w:r>
        <w:rPr>
          <w:b/>
          <w:bCs/>
          <w:color w:val="1F3864"/>
        </w:rPr>
        <w:t xml:space="preserve">2. Incident Details</w:t>
      </w:r>
    </w:p>
    <w:p>
      <w:pPr>
        <w:pStyle w:val="Heading2"/>
        <w:spacing w:after="140" w:before="280"/>
      </w:pPr>
      <w:r>
        <w:rPr>
          <w:b/>
          <w:bCs/>
          <w:color w:val="1F3864"/>
        </w:rPr>
        <w:t xml:space="preserve">Detection</w:t>
      </w:r>
    </w:p>
    <w:p>
      <w:pPr>
        <w:spacing w:after="160"/>
      </w:pPr>
      <w:r>
        <w:rPr>
          <w:b/>
          <w:bCs/>
        </w:rPr>
        <w:t xml:space="preserve">How the incident was discovered: </w:t>
      </w:r>
      <w:r>
        <w:rPr>
          <w:i/>
          <w:iCs/>
          <w:color w:val="595959"/>
        </w:rPr>
        <w:t xml:space="preserve">Not determined from available data</w:t>
      </w:r>
    </w:p>
    <w:p>
      <w:pPr>
        <w:pStyle w:val="Heading2"/>
        <w:spacing w:after="140" w:before="280"/>
      </w:pPr>
      <w:r>
        <w:rPr>
          <w:b/>
          <w:bCs/>
          <w:color w:val="1F3864"/>
        </w:rPr>
        <w:t xml:space="preserve">Timeline</w:t>
      </w:r>
    </w:p>
    <w:p>
      <w:pPr>
        <w:spacing w:after="160"/>
      </w:pPr>
      <w:r>
        <w:t xml:space="preserve">All times UTC, activity dated 2021-08-02.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3864" w:color="auto" w:val="clear"/>
            <w:tcMar>
              <w:top w:type="dxa" w:w="80"/>
              <w:left w:type="dxa" w:w="100"/>
              <w:bottom w:type="dxa" w:w="80"/>
              <w:right w:type="dxa" w:w="100"/>
            </w:tcMar>
            <w:vAlign w:val="center"/>
          </w:tcPr>
          <w:p>
            <w:r>
              <w:rPr>
                <w:b/>
                <w:bCs/>
                <w:color w:val="FFFFFF"/>
              </w:rPr>
              <w:t xml:space="preserve">Time (UTC)</w:t>
            </w:r>
          </w:p>
        </w:tc>
        <w:tc>
          <w:tcPr>
            <w:tcW w:type="dxa" w:w="7460"/>
            <w:shd w:fill="1F3864" w:color="auto" w:val="clear"/>
            <w:tcMar>
              <w:top w:type="dxa" w:w="80"/>
              <w:left w:type="dxa" w:w="100"/>
              <w:bottom w:type="dxa" w:w="80"/>
              <w:right w:type="dxa" w:w="100"/>
            </w:tcMar>
            <w:vAlign w:val="center"/>
          </w:tcPr>
          <w:p>
            <w:r>
              <w:rPr>
                <w:b/>
                <w:bCs/>
                <w:color w:val="FFFFFF"/>
              </w:rPr>
              <w:t xml:space="preserve">Event</w:t>
            </w:r>
          </w:p>
        </w:tc>
      </w:tr>
      <w:tr>
        <w:tc>
          <w:tcPr>
            <w:tcW w:type="dxa" w:w="1900"/>
            <w:tcMar>
              <w:top w:type="dxa" w:w="80"/>
              <w:left w:type="dxa" w:w="100"/>
              <w:bottom w:type="dxa" w:w="80"/>
              <w:right w:type="dxa" w:w="100"/>
            </w:tcMar>
            <w:vAlign w:val="center"/>
          </w:tcPr>
          <w:p>
            <w:r>
              <w:t xml:space="preserve">13:05:32</w:t>
            </w:r>
          </w:p>
        </w:tc>
        <w:tc>
          <w:tcPr>
            <w:tcW w:type="dxa" w:w="7460"/>
            <w:tcMar>
              <w:top w:type="dxa" w:w="80"/>
              <w:left w:type="dxa" w:w="100"/>
              <w:bottom w:type="dxa" w:w="80"/>
              <w:right w:type="dxa" w:w="100"/>
            </w:tcMar>
            <w:vAlign w:val="center"/>
          </w:tcPr>
          <w:p>
            <w:r>
              <w:t xml:space="preserve">PowerShell on ADFS01 connects to the WID database; wardog dumps ServiceSettingsData (Sysmon 18, WID audit 33205)</w:t>
            </w:r>
          </w:p>
        </w:tc>
      </w:tr>
      <w:tr>
        <w:tc>
          <w:tcPr>
            <w:tcW w:type="dxa" w:w="1900"/>
            <w:shd w:fill="F2F2F2" w:color="auto" w:val="clear"/>
            <w:tcMar>
              <w:top w:type="dxa" w:w="80"/>
              <w:left w:type="dxa" w:w="100"/>
              <w:bottom w:type="dxa" w:w="80"/>
              <w:right w:type="dxa" w:w="100"/>
            </w:tcMar>
            <w:vAlign w:val="center"/>
          </w:tcPr>
          <w:p>
            <w:r>
              <w:t xml:space="preserve">13:08:45, 13:13:29</w:t>
            </w:r>
          </w:p>
        </w:tc>
        <w:tc>
          <w:tcPr>
            <w:tcW w:type="dxa" w:w="7460"/>
            <w:shd w:fill="F2F2F2" w:color="auto" w:val="clear"/>
            <w:tcMar>
              <w:top w:type="dxa" w:w="80"/>
              <w:left w:type="dxa" w:w="100"/>
              <w:bottom w:type="dxa" w:w="80"/>
              <w:right w:type="dxa" w:w="100"/>
            </w:tcMar>
            <w:vAlign w:val="center"/>
          </w:tcPr>
          <w:p>
            <w:r>
              <w:t xml:space="preserve">pgustavo NTLMv1 network logons to DC01 from ADFS01 (unexplained)</w:t>
            </w:r>
          </w:p>
        </w:tc>
      </w:tr>
      <w:tr>
        <w:tc>
          <w:tcPr>
            <w:tcW w:type="dxa" w:w="1900"/>
            <w:tcMar>
              <w:top w:type="dxa" w:w="80"/>
              <w:left w:type="dxa" w:w="100"/>
              <w:bottom w:type="dxa" w:w="80"/>
              <w:right w:type="dxa" w:w="100"/>
            </w:tcMar>
            <w:vAlign w:val="center"/>
          </w:tcPr>
          <w:p>
            <w:r>
              <w:t xml:space="preserve">13:11:39–13:13:11</w:t>
            </w:r>
          </w:p>
        </w:tc>
        <w:tc>
          <w:tcPr>
            <w:tcW w:type="dxa" w:w="7460"/>
            <w:tcMar>
              <w:top w:type="dxa" w:w="80"/>
              <w:left w:type="dxa" w:w="100"/>
              <w:bottom w:type="dxa" w:w="80"/>
              <w:right w:type="dxa" w:w="100"/>
            </w:tcMar>
            <w:vAlign w:val="center"/>
          </w:tcPr>
          <w:p>
            <w:r>
              <w:t xml:space="preserve">wardog reads the DKM key (thumbnailPhoto) on DC01 three times (4662)</w:t>
            </w:r>
          </w:p>
        </w:tc>
      </w:tr>
      <w:tr>
        <w:tc>
          <w:tcPr>
            <w:tcW w:type="dxa" w:w="1900"/>
            <w:shd w:fill="F2F2F2" w:color="auto" w:val="clear"/>
            <w:tcMar>
              <w:top w:type="dxa" w:w="80"/>
              <w:left w:type="dxa" w:w="100"/>
              <w:bottom w:type="dxa" w:w="80"/>
              <w:right w:type="dxa" w:w="100"/>
            </w:tcMar>
            <w:vAlign w:val="center"/>
          </w:tcPr>
          <w:p>
            <w:r>
              <w:t xml:space="preserve">13:15–13:25</w:t>
            </w:r>
          </w:p>
        </w:tc>
        <w:tc>
          <w:tcPr>
            <w:tcW w:type="dxa" w:w="7460"/>
            <w:shd w:fill="F2F2F2" w:color="auto" w:val="clear"/>
            <w:tcMar>
              <w:top w:type="dxa" w:w="80"/>
              <w:left w:type="dxa" w:w="100"/>
              <w:bottom w:type="dxa" w:w="80"/>
              <w:right w:type="dxa" w:w="100"/>
            </w:tcMar>
            <w:vAlign w:val="center"/>
          </w:tcPr>
          <w:p>
            <w:r>
              <w:t xml:space="preserve">Blind spot: inferred sign-in to Azure AD as pgustavo (not directly observed in either data source)</w:t>
            </w:r>
          </w:p>
        </w:tc>
      </w:tr>
      <w:tr>
        <w:tc>
          <w:tcPr>
            <w:tcW w:type="dxa" w:w="1900"/>
            <w:tcMar>
              <w:top w:type="dxa" w:w="80"/>
              <w:left w:type="dxa" w:w="100"/>
              <w:bottom w:type="dxa" w:w="80"/>
              <w:right w:type="dxa" w:w="100"/>
            </w:tcMar>
            <w:vAlign w:val="center"/>
          </w:tcPr>
          <w:p>
            <w:r>
              <w:t xml:space="preserve">13:25:12</w:t>
            </w:r>
          </w:p>
        </w:tc>
        <w:tc>
          <w:tcPr>
            <w:tcW w:type="dxa" w:w="7460"/>
            <w:tcMar>
              <w:top w:type="dxa" w:w="80"/>
              <w:left w:type="dxa" w:w="100"/>
              <w:bottom w:type="dxa" w:w="80"/>
              <w:right w:type="dxa" w:w="100"/>
            </w:tcMar>
            <w:vAlign w:val="center"/>
          </w:tcPr>
          <w:p>
            <w:r>
              <w:t xml:space="preserve">SimuLandApp updated to request Graph Mail.ReadWrite</w:t>
            </w:r>
          </w:p>
        </w:tc>
      </w:tr>
      <w:tr>
        <w:tc>
          <w:tcPr>
            <w:tcW w:type="dxa" w:w="1900"/>
            <w:shd w:fill="F2F2F2" w:color="auto" w:val="clear"/>
            <w:tcMar>
              <w:top w:type="dxa" w:w="80"/>
              <w:left w:type="dxa" w:w="100"/>
              <w:bottom w:type="dxa" w:w="80"/>
              <w:right w:type="dxa" w:w="100"/>
            </w:tcMar>
            <w:vAlign w:val="center"/>
          </w:tcPr>
          <w:p>
            <w:r>
              <w:t xml:space="preserve">13:27:20</w:t>
            </w:r>
          </w:p>
        </w:tc>
        <w:tc>
          <w:tcPr>
            <w:tcW w:type="dxa" w:w="7460"/>
            <w:shd w:fill="F2F2F2" w:color="auto" w:val="clear"/>
            <w:tcMar>
              <w:top w:type="dxa" w:w="80"/>
              <w:left w:type="dxa" w:w="100"/>
              <w:bottom w:type="dxa" w:w="80"/>
              <w:right w:type="dxa" w:w="100"/>
            </w:tcMar>
            <w:vAlign w:val="center"/>
          </w:tcPr>
          <w:p>
            <w:r>
              <w:t xml:space="preserve">Delegated grant User.Read Mail.ReadWrite, ConsentType AllPrincipals</w:t>
            </w:r>
          </w:p>
        </w:tc>
      </w:tr>
      <w:tr>
        <w:tc>
          <w:tcPr>
            <w:tcW w:type="dxa" w:w="1900"/>
            <w:tcMar>
              <w:top w:type="dxa" w:w="80"/>
              <w:left w:type="dxa" w:w="100"/>
              <w:bottom w:type="dxa" w:w="80"/>
              <w:right w:type="dxa" w:w="100"/>
            </w:tcMar>
            <w:vAlign w:val="center"/>
          </w:tcPr>
          <w:p>
            <w:r>
              <w:t xml:space="preserve">13:29:25</w:t>
            </w:r>
          </w:p>
        </w:tc>
        <w:tc>
          <w:tcPr>
            <w:tcW w:type="dxa" w:w="7460"/>
            <w:tcMar>
              <w:top w:type="dxa" w:w="80"/>
              <w:left w:type="dxa" w:w="100"/>
              <w:bottom w:type="dxa" w:w="80"/>
              <w:right w:type="dxa" w:w="100"/>
            </w:tcMar>
            <w:vAlign w:val="center"/>
          </w:tcPr>
          <w:p>
            <w:r>
              <w:t xml:space="preserve">Client secret SimuLandCreds added (KeyId 59eaeebc-…)</w:t>
            </w:r>
          </w:p>
        </w:tc>
      </w:tr>
      <w:tr>
        <w:tc>
          <w:tcPr>
            <w:tcW w:type="dxa" w:w="1900"/>
            <w:shd w:fill="F2F2F2" w:color="auto" w:val="clear"/>
            <w:tcMar>
              <w:top w:type="dxa" w:w="80"/>
              <w:left w:type="dxa" w:w="100"/>
              <w:bottom w:type="dxa" w:w="80"/>
              <w:right w:type="dxa" w:w="100"/>
            </w:tcMar>
            <w:vAlign w:val="center"/>
          </w:tcPr>
          <w:p>
            <w:r>
              <w:t xml:space="preserve">13:32:07 (to ~13:41)</w:t>
            </w:r>
          </w:p>
        </w:tc>
        <w:tc>
          <w:tcPr>
            <w:tcW w:type="dxa" w:w="7460"/>
            <w:shd w:fill="F2F2F2" w:color="auto" w:val="clear"/>
            <w:tcMar>
              <w:top w:type="dxa" w:w="80"/>
              <w:left w:type="dxa" w:w="100"/>
              <w:bottom w:type="dxa" w:w="80"/>
              <w:right w:type="dxa" w:w="100"/>
            </w:tcMar>
            <w:vAlign w:val="center"/>
          </w:tcPr>
          <w:p>
            <w:r>
              <w:t xml:space="preserve">MailItemsAccessed: pgustavo's Inbox, 7 messages, Graph REST, ClientAppId 5a95e683-…</w:t>
            </w:r>
          </w:p>
        </w:tc>
      </w:tr>
    </w:tbl>
    <w:p>
      <w:pPr>
        <w:spacing w:before="200"/>
      </w:pPr>
    </w:p>
    <w:p>
      <w:pPr>
        <w:pStyle w:val="Heading2"/>
        <w:spacing w:after="140" w:before="280"/>
      </w:pPr>
      <w:r>
        <w:rPr>
          <w:b/>
          <w:bCs/>
          <w:color w:val="1F3864"/>
        </w:rPr>
        <w:t xml:space="preserve">Scope</w:t>
      </w:r>
    </w:p>
    <w:p>
      <w:pPr>
        <w:pStyle w:val="ListParagraph"/>
        <w:numPr>
          <w:ilvl w:val="0"/>
          <w:numId w:val="2"/>
        </w:numPr>
        <w:spacing w:after="100"/>
      </w:pPr>
      <w:r>
        <w:t xml:space="preserve">Hosts: ADFS01 (192.168.2.5) and DC01 (192.168.2.4, inferred).</w:t>
      </w:r>
    </w:p>
    <w:p>
      <w:pPr>
        <w:pStyle w:val="ListParagraph"/>
        <w:numPr>
          <w:ilvl w:val="0"/>
          <w:numId w:val="2"/>
        </w:numPr>
        <w:spacing w:after="100"/>
      </w:pPr>
      <w:r>
        <w:t xml:space="preserve">On-premises account: SIMULANDLABS\wardog (built-in Administrator, RID 500).</w:t>
      </w:r>
    </w:p>
    <w:p>
      <w:pPr>
        <w:pStyle w:val="ListParagraph"/>
        <w:numPr>
          <w:ilvl w:val="0"/>
          <w:numId w:val="2"/>
        </w:numPr>
        <w:spacing w:after="100"/>
      </w:pPr>
      <w:r>
        <w:t xml:space="preserve">Identity acting across both phases: pgustavo@simulandlabs.com (on-prem SID …-1105; cloud object aead923d-…). The on-prem and cloud identities were matched by name only and have not been independently verified as the same account.</w:t>
      </w:r>
    </w:p>
    <w:p>
      <w:pPr>
        <w:pStyle w:val="ListParagraph"/>
        <w:numPr>
          <w:ilvl w:val="0"/>
          <w:numId w:val="2"/>
        </w:numPr>
        <w:spacing w:after="100"/>
      </w:pPr>
      <w:r>
        <w:t xml:space="preserve">Cloud application: SimuLandApp, within the simulandlabs.com tenant.</w:t>
      </w:r>
    </w:p>
    <w:p>
      <w:pPr>
        <w:pStyle w:val="ListParagraph"/>
        <w:numPr>
          <w:ilvl w:val="0"/>
          <w:numId w:val="2"/>
        </w:numPr>
        <w:spacing w:after="100"/>
      </w:pPr>
      <w:r>
        <w:t xml:space="preserve">Confirmed data exposure is limited to pgustavo's Inbox (7 messages); exposure of other mailboxes or systems is unknown.</w:t>
      </w:r>
    </w:p>
    <w:p>
      <w:pPr>
        <w:pStyle w:val="Heading2"/>
        <w:spacing w:after="140" w:before="280"/>
      </w:pPr>
      <w:r>
        <w:rPr>
          <w:b/>
          <w:bCs/>
          <w:color w:val="1F3864"/>
        </w:rPr>
        <w:t xml:space="preserve">Attack Chain</w:t>
      </w:r>
    </w:p>
    <w:p>
      <w:pPr>
        <w:spacing w:after="160"/>
      </w:pPr>
      <w:r>
        <w:rPr>
          <w:b/>
          <w:bCs/>
        </w:rPr>
        <w:t xml:space="preserve">Phase 1 – On-Premises (13:05–13:13 UTC):</w:t>
      </w:r>
    </w:p>
    <w:p>
      <w:pPr>
        <w:pStyle w:val="ListParagraph"/>
        <w:numPr>
          <w:ilvl w:val="0"/>
          <w:numId w:val="3"/>
        </w:numPr>
        <w:spacing w:after="100"/>
      </w:pPr>
      <w:r>
        <w:t xml:space="preserve">13:05:32 – wardog used PowerShell on ADFS01 to connect to the AD FS configuration database (WID) and dump ServiceSettingsData, the AD FS token-signing configuration.</w:t>
      </w:r>
    </w:p>
    <w:p>
      <w:pPr>
        <w:pStyle w:val="ListParagraph"/>
        <w:numPr>
          <w:ilvl w:val="0"/>
          <w:numId w:val="3"/>
        </w:numPr>
        <w:spacing w:after="100"/>
      </w:pPr>
      <w:r>
        <w:t xml:space="preserve">13:08:45 and 13:13:29 – NTLMv1 network logons to DC01 from ADFS01 occurred under the pgustavo account; these logons are unexplained in the available data.</w:t>
      </w:r>
    </w:p>
    <w:p>
      <w:pPr>
        <w:pStyle w:val="ListParagraph"/>
        <w:numPr>
          <w:ilvl w:val="0"/>
          <w:numId w:val="3"/>
        </w:numPr>
        <w:spacing w:after="100"/>
      </w:pPr>
      <w:r>
        <w:t xml:space="preserve">13:11:39–13:13:11 – wardog read the DKM master key, stored in the thumbnailPhoto attribute, on DC01 three times — the key required to decrypt the configuration extracted in the first step.</w:t>
      </w:r>
    </w:p>
    <w:p>
      <w:pPr>
        <w:spacing w:after="160"/>
      </w:pPr>
      <w:r>
        <w:rPr>
          <w:b/>
          <w:bCs/>
        </w:rPr>
        <w:t xml:space="preserve">Blind Spot (13:15–13:25 UTC):</w:t>
      </w:r>
    </w:p>
    <w:p>
      <w:pPr>
        <w:spacing w:after="160"/>
      </w:pPr>
      <w:r>
        <w:t xml:space="preserve">No telemetry was observed in either data source for this window. A sign-in to Azure AD as pgustavo is inferred to link the two phases, but this step is not directly evidenced.</w:t>
      </w:r>
    </w:p>
    <w:p>
      <w:pPr>
        <w:spacing w:after="160"/>
      </w:pPr>
      <w:r>
        <w:rPr>
          <w:b/>
          <w:bCs/>
        </w:rPr>
        <w:t xml:space="preserve">Phase 2 – Cloud (13:25–13:32 UTC, continuing to approximately 13:41 UTC):</w:t>
      </w:r>
    </w:p>
    <w:p>
      <w:pPr>
        <w:pStyle w:val="ListParagraph"/>
        <w:numPr>
          <w:ilvl w:val="0"/>
          <w:numId w:val="3"/>
        </w:numPr>
        <w:spacing w:after="100"/>
      </w:pPr>
      <w:r>
        <w:t xml:space="preserve">13:25:12 – SimuLandApp was updated to request the Microsoft Graph Mail.ReadWrite permission.</w:t>
      </w:r>
    </w:p>
    <w:p>
      <w:pPr>
        <w:pStyle w:val="ListParagraph"/>
        <w:numPr>
          <w:ilvl w:val="0"/>
          <w:numId w:val="3"/>
        </w:numPr>
        <w:spacing w:after="100"/>
      </w:pPr>
      <w:r>
        <w:t xml:space="preserve">13:27:20 – A delegated grant of User.Read and Mail.ReadWrite was recorded with ConsentType AllPrincipals (tenant-wide consent).</w:t>
      </w:r>
    </w:p>
    <w:p>
      <w:pPr>
        <w:pStyle w:val="ListParagraph"/>
        <w:numPr>
          <w:ilvl w:val="0"/>
          <w:numId w:val="3"/>
        </w:numPr>
        <w:spacing w:after="100"/>
      </w:pPr>
      <w:r>
        <w:t xml:space="preserve">13:29:25 – A client secret named SimuLandCreds (KeyId 59eaeebc-…) was added to SimuLandApp.</w:t>
      </w:r>
    </w:p>
    <w:p>
      <w:pPr>
        <w:pStyle w:val="ListParagraph"/>
        <w:numPr>
          <w:ilvl w:val="0"/>
          <w:numId w:val="3"/>
        </w:numPr>
        <w:spacing w:after="100"/>
      </w:pPr>
      <w:r>
        <w:t xml:space="preserve">13:32:07 to approximately 13:41 – SimuLandApp, via Graph REST calls under ClientAppId 5a95e683-…, accessed 7 messages in pgustavo's Inbox (MailItemsAccessed).</w:t>
      </w:r>
    </w:p>
    <w:p>
      <w:pPr>
        <w:spacing w:after="160"/>
      </w:pPr>
      <w:r>
        <w:rPr>
          <w:i/>
          <w:iCs/>
          <w:color w:val="595959"/>
        </w:rPr>
        <w:t xml:space="preserve">Confidence assessment: that Phase 1 and Phase 2 are part of a single campaign is Medium confidence. That Golden SAML (a forged token) was the connecting mechanism is Low confidence, as the attacker may instead have used pgustavo's real credentials. Initial access to the environment is unknown.</w:t>
      </w:r>
    </w:p>
    <w:p>
      <w:r>
        <w:br w:type="page"/>
      </w:r>
    </w:p>
    <w:p>
      <w:pPr>
        <w:pStyle w:val="Heading1"/>
        <w:spacing w:after="180" w:before="360"/>
      </w:pPr>
      <w:r>
        <w:rPr>
          <w:b/>
          <w:bCs/>
          <w:color w:val="1F3864"/>
        </w:rPr>
        <w:t xml:space="preserve">3. Technical Analysis</w:t>
      </w:r>
    </w:p>
    <w:p>
      <w:pPr>
        <w:pStyle w:val="Heading2"/>
        <w:spacing w:after="140" w:before="280"/>
      </w:pPr>
      <w:r>
        <w:rPr>
          <w:b/>
          <w:bCs/>
          <w:color w:val="1F3864"/>
        </w:rPr>
        <w:t xml:space="preserve">ATT&amp;CK Mapping</w:t>
      </w:r>
    </w:p>
    <w:p>
      <w:pPr>
        <w:spacing w:after="160"/>
      </w:pPr>
      <w:r>
        <w:t xml:space="preserve">Confidence levels are reproduced exactly as stated in the source investigation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60"/>
      </w:tblGrid>
      <w:tr>
        <w:trPr>
          <w:tblHeader/>
        </w:trPr>
        <w:tc>
          <w:tcPr>
            <w:tcW w:type="dxa" w:w="2100"/>
            <w:shd w:fill="1F3864" w:color="auto" w:val="clear"/>
            <w:tcMar>
              <w:top w:type="dxa" w:w="80"/>
              <w:left w:type="dxa" w:w="100"/>
              <w:bottom w:type="dxa" w:w="80"/>
              <w:right w:type="dxa" w:w="100"/>
            </w:tcMar>
            <w:vAlign w:val="center"/>
          </w:tcPr>
          <w:p>
            <w:r>
              <w:rPr>
                <w:b/>
                <w:bCs/>
                <w:color w:val="FFFFFF"/>
              </w:rPr>
              <w:t xml:space="preserve">ATT&amp;CK Technique</w:t>
            </w:r>
          </w:p>
        </w:tc>
        <w:tc>
          <w:tcPr>
            <w:tcW w:type="dxa" w:w="3600"/>
            <w:shd w:fill="1F3864" w:color="auto" w:val="clear"/>
            <w:tcMar>
              <w:top w:type="dxa" w:w="80"/>
              <w:left w:type="dxa" w:w="100"/>
              <w:bottom w:type="dxa" w:w="80"/>
              <w:right w:type="dxa" w:w="100"/>
            </w:tcMar>
            <w:vAlign w:val="center"/>
          </w:tcPr>
          <w:p>
            <w:r>
              <w:rPr>
                <w:b/>
                <w:bCs/>
                <w:color w:val="FFFFFF"/>
              </w:rPr>
              <w:t xml:space="preserve">Evidence</w:t>
            </w:r>
          </w:p>
        </w:tc>
        <w:tc>
          <w:tcPr>
            <w:tcW w:type="dxa" w:w="3660"/>
            <w:shd w:fill="1F3864" w:color="auto" w:val="clear"/>
            <w:tcMar>
              <w:top w:type="dxa" w:w="80"/>
              <w:left w:type="dxa" w:w="100"/>
              <w:bottom w:type="dxa" w:w="80"/>
              <w:right w:type="dxa" w:w="100"/>
            </w:tcMar>
            <w:vAlign w:val="center"/>
          </w:tcPr>
          <w:p>
            <w:r>
              <w:rPr>
                <w:b/>
                <w:bCs/>
                <w:color w:val="FFFFFF"/>
              </w:rPr>
              <w:t xml:space="preserve">Confidence</w:t>
            </w:r>
          </w:p>
        </w:tc>
      </w:tr>
      <w:tr>
        <w:tc>
          <w:tcPr>
            <w:tcW w:type="dxa" w:w="2100"/>
            <w:tcMar>
              <w:top w:type="dxa" w:w="80"/>
              <w:left w:type="dxa" w:w="100"/>
              <w:bottom w:type="dxa" w:w="80"/>
              <w:right w:type="dxa" w:w="100"/>
            </w:tcMar>
            <w:vAlign w:val="center"/>
          </w:tcPr>
          <w:p>
            <w:r>
              <w:t xml:space="preserve">T1552.004 – Unsecured Credentials: Private Keys (and T1555)</w:t>
            </w:r>
          </w:p>
        </w:tc>
        <w:tc>
          <w:tcPr>
            <w:tcW w:type="dxa" w:w="3600"/>
            <w:tcMar>
              <w:top w:type="dxa" w:w="80"/>
              <w:left w:type="dxa" w:w="100"/>
              <w:bottom w:type="dxa" w:w="80"/>
              <w:right w:type="dxa" w:w="100"/>
            </w:tcMar>
            <w:vAlign w:val="center"/>
          </w:tcPr>
          <w:p>
            <w:r>
              <w:t xml:space="preserve">WID dump and DKM reads</w:t>
            </w:r>
          </w:p>
        </w:tc>
        <w:tc>
          <w:tcPr>
            <w:tcW w:type="dxa" w:w="3660"/>
            <w:tcMar>
              <w:top w:type="dxa" w:w="80"/>
              <w:left w:type="dxa" w:w="100"/>
              <w:bottom w:type="dxa" w:w="80"/>
              <w:right w:type="dxa" w:w="100"/>
            </w:tcMar>
            <w:vAlign w:val="center"/>
          </w:tcPr>
          <w:p>
            <w:r>
              <w:t xml:space="preserve">Extraction: High. Malicious intent (rather than a legitimate AD FS backup such as Rapid Restore) rests on context and is not independently confirmed.</w:t>
            </w:r>
          </w:p>
        </w:tc>
      </w:tr>
      <w:tr>
        <w:tc>
          <w:tcPr>
            <w:tcW w:type="dxa" w:w="2100"/>
            <w:shd w:fill="F2F2F2" w:color="auto" w:val="clear"/>
            <w:tcMar>
              <w:top w:type="dxa" w:w="80"/>
              <w:left w:type="dxa" w:w="100"/>
              <w:bottom w:type="dxa" w:w="80"/>
              <w:right w:type="dxa" w:w="100"/>
            </w:tcMar>
            <w:vAlign w:val="center"/>
          </w:tcPr>
          <w:p>
            <w:r>
              <w:t xml:space="preserve">T1606.002 – Forge Web Credentials: SAML Tokens (Golden SAML)</w:t>
            </w:r>
          </w:p>
        </w:tc>
        <w:tc>
          <w:tcPr>
            <w:tcW w:type="dxa" w:w="3600"/>
            <w:shd w:fill="F2F2F2" w:color="auto" w:val="clear"/>
            <w:tcMar>
              <w:top w:type="dxa" w:w="80"/>
              <w:left w:type="dxa" w:w="100"/>
              <w:bottom w:type="dxa" w:w="80"/>
              <w:right w:type="dxa" w:w="100"/>
            </w:tcMar>
            <w:vAlign w:val="center"/>
          </w:tcPr>
          <w:p>
            <w:r>
              <w:t xml:space="preserve">Inferred from key theft followed by cloud activity</w:t>
            </w:r>
          </w:p>
        </w:tc>
        <w:tc>
          <w:tcPr>
            <w:tcW w:type="dxa" w:w="3660"/>
            <w:shd w:fill="F2F2F2" w:color="auto" w:val="clear"/>
            <w:tcMar>
              <w:top w:type="dxa" w:w="80"/>
              <w:left w:type="dxa" w:w="100"/>
              <w:bottom w:type="dxa" w:w="80"/>
              <w:right w:type="dxa" w:w="100"/>
            </w:tcMar>
            <w:vAlign w:val="center"/>
          </w:tcPr>
          <w:p>
            <w:r>
              <w:t xml:space="preserve">Low (undecided against real credentials)</w:t>
            </w:r>
          </w:p>
        </w:tc>
      </w:tr>
      <w:tr>
        <w:tc>
          <w:tcPr>
            <w:tcW w:type="dxa" w:w="2100"/>
            <w:tcMar>
              <w:top w:type="dxa" w:w="80"/>
              <w:left w:type="dxa" w:w="100"/>
              <w:bottom w:type="dxa" w:w="80"/>
              <w:right w:type="dxa" w:w="100"/>
            </w:tcMar>
            <w:vAlign w:val="center"/>
          </w:tcPr>
          <w:p>
            <w:r>
              <w:t xml:space="preserve">T1098.003 – Account Manipulation: Additional Cloud Roles</w:t>
            </w:r>
          </w:p>
        </w:tc>
        <w:tc>
          <w:tcPr>
            <w:tcW w:type="dxa" w:w="3600"/>
            <w:tcMar>
              <w:top w:type="dxa" w:w="80"/>
              <w:left w:type="dxa" w:w="100"/>
              <w:bottom w:type="dxa" w:w="80"/>
              <w:right w:type="dxa" w:w="100"/>
            </w:tcMar>
            <w:vAlign w:val="center"/>
          </w:tcPr>
          <w:p>
            <w:r>
              <w:t xml:space="preserve">Mail.ReadWrite added; AllPrincipals consent</w:t>
            </w:r>
          </w:p>
        </w:tc>
        <w:tc>
          <w:tcPr>
            <w:tcW w:type="dxa" w:w="3660"/>
            <w:tcMar>
              <w:top w:type="dxa" w:w="80"/>
              <w:left w:type="dxa" w:w="100"/>
              <w:bottom w:type="dxa" w:w="80"/>
              <w:right w:type="dxa" w:w="100"/>
            </w:tcMar>
            <w:vAlign w:val="center"/>
          </w:tcPr>
          <w:p>
            <w:r>
              <w:t xml:space="preserve">High</w:t>
            </w:r>
          </w:p>
        </w:tc>
      </w:tr>
      <w:tr>
        <w:tc>
          <w:tcPr>
            <w:tcW w:type="dxa" w:w="2100"/>
            <w:shd w:fill="F2F2F2" w:color="auto" w:val="clear"/>
            <w:tcMar>
              <w:top w:type="dxa" w:w="80"/>
              <w:left w:type="dxa" w:w="100"/>
              <w:bottom w:type="dxa" w:w="80"/>
              <w:right w:type="dxa" w:w="100"/>
            </w:tcMar>
            <w:vAlign w:val="center"/>
          </w:tcPr>
          <w:p>
            <w:r>
              <w:t xml:space="preserve">T1098.001 – Account Manipulation: Additional Cloud Credentials</w:t>
            </w:r>
          </w:p>
        </w:tc>
        <w:tc>
          <w:tcPr>
            <w:tcW w:type="dxa" w:w="3600"/>
            <w:shd w:fill="F2F2F2" w:color="auto" w:val="clear"/>
            <w:tcMar>
              <w:top w:type="dxa" w:w="80"/>
              <w:left w:type="dxa" w:w="100"/>
              <w:bottom w:type="dxa" w:w="80"/>
              <w:right w:type="dxa" w:w="100"/>
            </w:tcMar>
            <w:vAlign w:val="center"/>
          </w:tcPr>
          <w:p>
            <w:r>
              <w:t xml:space="preserve">SimuLandCreds secret</w:t>
            </w:r>
          </w:p>
        </w:tc>
        <w:tc>
          <w:tcPr>
            <w:tcW w:type="dxa" w:w="3660"/>
            <w:shd w:fill="F2F2F2" w:color="auto" w:val="clear"/>
            <w:tcMar>
              <w:top w:type="dxa" w:w="80"/>
              <w:left w:type="dxa" w:w="100"/>
              <w:bottom w:type="dxa" w:w="80"/>
              <w:right w:type="dxa" w:w="100"/>
            </w:tcMar>
            <w:vAlign w:val="center"/>
          </w:tcPr>
          <w:p>
            <w:r>
              <w:t xml:space="preserve">High</w:t>
            </w:r>
          </w:p>
        </w:tc>
      </w:tr>
      <w:tr>
        <w:tc>
          <w:tcPr>
            <w:tcW w:type="dxa" w:w="2100"/>
            <w:tcMar>
              <w:top w:type="dxa" w:w="80"/>
              <w:left w:type="dxa" w:w="100"/>
              <w:bottom w:type="dxa" w:w="80"/>
              <w:right w:type="dxa" w:w="100"/>
            </w:tcMar>
            <w:vAlign w:val="center"/>
          </w:tcPr>
          <w:p>
            <w:r>
              <w:t xml:space="preserve">T1114.002 – Email Collection: Remote Email Collection</w:t>
            </w:r>
          </w:p>
        </w:tc>
        <w:tc>
          <w:tcPr>
            <w:tcW w:type="dxa" w:w="3600"/>
            <w:tcMar>
              <w:top w:type="dxa" w:w="80"/>
              <w:left w:type="dxa" w:w="100"/>
              <w:bottom w:type="dxa" w:w="80"/>
              <w:right w:type="dxa" w:w="100"/>
            </w:tcMar>
            <w:vAlign w:val="center"/>
          </w:tcPr>
          <w:p>
            <w:r>
              <w:t xml:space="preserve">MailItemsAccessed, 7 messages</w:t>
            </w:r>
          </w:p>
        </w:tc>
        <w:tc>
          <w:tcPr>
            <w:tcW w:type="dxa" w:w="3660"/>
            <w:tcMar>
              <w:top w:type="dxa" w:w="80"/>
              <w:left w:type="dxa" w:w="100"/>
              <w:bottom w:type="dxa" w:w="80"/>
              <w:right w:type="dxa" w:w="100"/>
            </w:tcMar>
            <w:vAlign w:val="center"/>
          </w:tcPr>
          <w:p>
            <w:r>
              <w:t xml:space="preserve">High</w:t>
            </w:r>
          </w:p>
        </w:tc>
      </w:tr>
      <w:tr>
        <w:tc>
          <w:tcPr>
            <w:tcW w:type="dxa" w:w="2100"/>
            <w:shd w:fill="F2F2F2" w:color="auto" w:val="clear"/>
            <w:tcMar>
              <w:top w:type="dxa" w:w="80"/>
              <w:left w:type="dxa" w:w="100"/>
              <w:bottom w:type="dxa" w:w="80"/>
              <w:right w:type="dxa" w:w="100"/>
            </w:tcMar>
            <w:vAlign w:val="center"/>
          </w:tcPr>
          <w:p>
            <w:r>
              <w:t xml:space="preserve">T1550.001 – Use Alternate Authentication Material: Application Access Token</w:t>
            </w:r>
          </w:p>
        </w:tc>
        <w:tc>
          <w:tcPr>
            <w:tcW w:type="dxa" w:w="3600"/>
            <w:shd w:fill="F2F2F2" w:color="auto" w:val="clear"/>
            <w:tcMar>
              <w:top w:type="dxa" w:w="80"/>
              <w:left w:type="dxa" w:w="100"/>
              <w:bottom w:type="dxa" w:w="80"/>
              <w:right w:type="dxa" w:w="100"/>
            </w:tcMar>
            <w:vAlign w:val="center"/>
          </w:tcPr>
          <w:p>
            <w:r>
              <w:t xml:space="preserve">Graph read by ClientAppId 5a95e683-…</w:t>
            </w:r>
          </w:p>
        </w:tc>
        <w:tc>
          <w:tcPr>
            <w:tcW w:type="dxa" w:w="3660"/>
            <w:shd w:fill="F2F2F2" w:color="auto" w:val="clear"/>
            <w:tcMar>
              <w:top w:type="dxa" w:w="80"/>
              <w:left w:type="dxa" w:w="100"/>
              <w:bottom w:type="dxa" w:w="80"/>
              <w:right w:type="dxa" w:w="100"/>
            </w:tcMar>
            <w:vAlign w:val="center"/>
          </w:tcPr>
          <w:p>
            <w:r>
              <w:t xml:space="preserve">Mail read High; that the app is SimuLandApp Medium</w:t>
            </w:r>
          </w:p>
        </w:tc>
      </w:tr>
    </w:tbl>
    <w:p>
      <w:pPr>
        <w:spacing w:before="200"/>
      </w:pPr>
    </w:p>
    <w:p>
      <w:pPr>
        <w:pStyle w:val="Heading2"/>
        <w:spacing w:after="140" w:before="280"/>
      </w:pPr>
      <w:r>
        <w:rPr>
          <w:b/>
          <w:bCs/>
          <w:color w:val="1F3864"/>
        </w:rPr>
        <w:t xml:space="preserve">Indicators of Compromise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160"/>
        <w:gridCol w:w="4600"/>
      </w:tblGrid>
      <w:tr>
        <w:trPr>
          <w:tblHeader/>
        </w:trPr>
        <w:tc>
          <w:tcPr>
            <w:tcW w:type="dxa" w:w="1600"/>
            <w:shd w:fill="1F3864" w:color="auto" w:val="clear"/>
            <w:tcMar>
              <w:top w:type="dxa" w:w="80"/>
              <w:left w:type="dxa" w:w="100"/>
              <w:bottom w:type="dxa" w:w="80"/>
              <w:right w:type="dxa" w:w="100"/>
            </w:tcMar>
            <w:vAlign w:val="center"/>
          </w:tcPr>
          <w:p>
            <w:r>
              <w:rPr>
                <w:b/>
                <w:bCs/>
                <w:color w:val="FFFFFF"/>
              </w:rPr>
              <w:t xml:space="preserve">Category</w:t>
            </w:r>
          </w:p>
        </w:tc>
        <w:tc>
          <w:tcPr>
            <w:tcW w:type="dxa" w:w="3160"/>
            <w:shd w:fill="1F3864" w:color="auto" w:val="clear"/>
            <w:tcMar>
              <w:top w:type="dxa" w:w="80"/>
              <w:left w:type="dxa" w:w="100"/>
              <w:bottom w:type="dxa" w:w="80"/>
              <w:right w:type="dxa" w:w="100"/>
            </w:tcMar>
            <w:vAlign w:val="center"/>
          </w:tcPr>
          <w:p>
            <w:r>
              <w:rPr>
                <w:b/>
                <w:bCs/>
                <w:color w:val="FFFFFF"/>
              </w:rPr>
              <w:t xml:space="preserve">Indicator</w:t>
            </w:r>
          </w:p>
        </w:tc>
        <w:tc>
          <w:tcPr>
            <w:tcW w:type="dxa" w:w="4600"/>
            <w:shd w:fill="1F3864" w:color="auto" w:val="clear"/>
            <w:tcMar>
              <w:top w:type="dxa" w:w="80"/>
              <w:left w:type="dxa" w:w="100"/>
              <w:bottom w:type="dxa" w:w="80"/>
              <w:right w:type="dxa" w:w="100"/>
            </w:tcMar>
            <w:vAlign w:val="center"/>
          </w:tcPr>
          <w:p>
            <w:r>
              <w:rPr>
                <w:b/>
                <w:bCs/>
                <w:color w:val="FFFFFF"/>
              </w:rPr>
              <w:t xml:space="preserve">Notes</w:t>
            </w:r>
          </w:p>
        </w:tc>
      </w:tr>
      <w:tr>
        <w:tc>
          <w:tcPr>
            <w:tcW w:type="dxa" w:w="1600"/>
            <w:tcMar>
              <w:top w:type="dxa" w:w="80"/>
              <w:left w:type="dxa" w:w="100"/>
              <w:bottom w:type="dxa" w:w="80"/>
              <w:right w:type="dxa" w:w="100"/>
            </w:tcMar>
            <w:vAlign w:val="center"/>
          </w:tcPr>
          <w:p>
            <w:r>
              <w:t xml:space="preserve">Account</w:t>
            </w:r>
          </w:p>
        </w:tc>
        <w:tc>
          <w:tcPr>
            <w:tcW w:type="dxa" w:w="3160"/>
            <w:tcMar>
              <w:top w:type="dxa" w:w="80"/>
              <w:left w:type="dxa" w:w="100"/>
              <w:bottom w:type="dxa" w:w="80"/>
              <w:right w:type="dxa" w:w="100"/>
            </w:tcMar>
            <w:vAlign w:val="center"/>
          </w:tcPr>
          <w:p>
            <w:r>
              <w:t xml:space="preserve">SIMULANDLABS\wardog</w:t>
            </w:r>
          </w:p>
        </w:tc>
        <w:tc>
          <w:tcPr>
            <w:tcW w:type="dxa" w:w="4600"/>
            <w:tcMar>
              <w:top w:type="dxa" w:w="80"/>
              <w:left w:type="dxa" w:w="100"/>
              <w:bottom w:type="dxa" w:w="80"/>
              <w:right w:type="dxa" w:w="100"/>
            </w:tcMar>
            <w:vAlign w:val="center"/>
          </w:tcPr>
          <w:p>
            <w:r>
              <w:t xml:space="preserve">Built-in Administrator account, RID 500</w:t>
            </w:r>
          </w:p>
        </w:tc>
      </w:tr>
      <w:tr>
        <w:tc>
          <w:tcPr>
            <w:tcW w:type="dxa" w:w="1600"/>
            <w:shd w:fill="F2F2F2" w:color="auto" w:val="clear"/>
            <w:tcMar>
              <w:top w:type="dxa" w:w="80"/>
              <w:left w:type="dxa" w:w="100"/>
              <w:bottom w:type="dxa" w:w="80"/>
              <w:right w:type="dxa" w:w="100"/>
            </w:tcMar>
            <w:vAlign w:val="center"/>
          </w:tcPr>
          <w:p>
            <w:r>
              <w:t xml:space="preserve">Account</w:t>
            </w:r>
          </w:p>
        </w:tc>
        <w:tc>
          <w:tcPr>
            <w:tcW w:type="dxa" w:w="3160"/>
            <w:shd w:fill="F2F2F2" w:color="auto" w:val="clear"/>
            <w:tcMar>
              <w:top w:type="dxa" w:w="80"/>
              <w:left w:type="dxa" w:w="100"/>
              <w:bottom w:type="dxa" w:w="80"/>
              <w:right w:type="dxa" w:w="100"/>
            </w:tcMar>
            <w:vAlign w:val="center"/>
          </w:tcPr>
          <w:p>
            <w:r>
              <w:t xml:space="preserve">pgustavo@simulandlabs.com</w:t>
            </w:r>
          </w:p>
        </w:tc>
        <w:tc>
          <w:tcPr>
            <w:tcW w:type="dxa" w:w="4600"/>
            <w:shd w:fill="F2F2F2" w:color="auto" w:val="clear"/>
            <w:tcMar>
              <w:top w:type="dxa" w:w="80"/>
              <w:left w:type="dxa" w:w="100"/>
              <w:bottom w:type="dxa" w:w="80"/>
              <w:right w:type="dxa" w:w="100"/>
            </w:tcMar>
            <w:vAlign w:val="center"/>
          </w:tcPr>
          <w:p>
            <w:r>
              <w:t xml:space="preserve">On-prem SID …-1105; cloud object aead923d-…; matched to the on-prem account by name only — not independently verified as the same identity</w:t>
            </w:r>
          </w:p>
        </w:tc>
      </w:tr>
      <w:tr>
        <w:tc>
          <w:tcPr>
            <w:tcW w:type="dxa" w:w="1600"/>
            <w:tcMar>
              <w:top w:type="dxa" w:w="80"/>
              <w:left w:type="dxa" w:w="100"/>
              <w:bottom w:type="dxa" w:w="80"/>
              <w:right w:type="dxa" w:w="100"/>
            </w:tcMar>
            <w:vAlign w:val="center"/>
          </w:tcPr>
          <w:p>
            <w:r>
              <w:t xml:space="preserve">Host</w:t>
            </w:r>
          </w:p>
        </w:tc>
        <w:tc>
          <w:tcPr>
            <w:tcW w:type="dxa" w:w="3160"/>
            <w:tcMar>
              <w:top w:type="dxa" w:w="80"/>
              <w:left w:type="dxa" w:w="100"/>
              <w:bottom w:type="dxa" w:w="80"/>
              <w:right w:type="dxa" w:w="100"/>
            </w:tcMar>
            <w:vAlign w:val="center"/>
          </w:tcPr>
          <w:p>
            <w:r>
              <w:t xml:space="preserve">ADFS01</w:t>
            </w:r>
          </w:p>
        </w:tc>
        <w:tc>
          <w:tcPr>
            <w:tcW w:type="dxa" w:w="4600"/>
            <w:tcMar>
              <w:top w:type="dxa" w:w="80"/>
              <w:left w:type="dxa" w:w="100"/>
              <w:bottom w:type="dxa" w:w="80"/>
              <w:right w:type="dxa" w:w="100"/>
            </w:tcMar>
            <w:vAlign w:val="center"/>
          </w:tcPr>
          <w:p>
            <w:r>
              <w:t xml:space="preserve">192.168.2.5</w:t>
            </w:r>
          </w:p>
        </w:tc>
      </w:tr>
      <w:tr>
        <w:tc>
          <w:tcPr>
            <w:tcW w:type="dxa" w:w="1600"/>
            <w:shd w:fill="F2F2F2" w:color="auto" w:val="clear"/>
            <w:tcMar>
              <w:top w:type="dxa" w:w="80"/>
              <w:left w:type="dxa" w:w="100"/>
              <w:bottom w:type="dxa" w:w="80"/>
              <w:right w:type="dxa" w:w="100"/>
            </w:tcMar>
            <w:vAlign w:val="center"/>
          </w:tcPr>
          <w:p>
            <w:r>
              <w:t xml:space="preserve">Host</w:t>
            </w:r>
          </w:p>
        </w:tc>
        <w:tc>
          <w:tcPr>
            <w:tcW w:type="dxa" w:w="3160"/>
            <w:shd w:fill="F2F2F2" w:color="auto" w:val="clear"/>
            <w:tcMar>
              <w:top w:type="dxa" w:w="80"/>
              <w:left w:type="dxa" w:w="100"/>
              <w:bottom w:type="dxa" w:w="80"/>
              <w:right w:type="dxa" w:w="100"/>
            </w:tcMar>
            <w:vAlign w:val="center"/>
          </w:tcPr>
          <w:p>
            <w:r>
              <w:t xml:space="preserve">DC01</w:t>
            </w:r>
          </w:p>
        </w:tc>
        <w:tc>
          <w:tcPr>
            <w:tcW w:type="dxa" w:w="4600"/>
            <w:shd w:fill="F2F2F2" w:color="auto" w:val="clear"/>
            <w:tcMar>
              <w:top w:type="dxa" w:w="80"/>
              <w:left w:type="dxa" w:w="100"/>
              <w:bottom w:type="dxa" w:w="80"/>
              <w:right w:type="dxa" w:w="100"/>
            </w:tcMar>
            <w:vAlign w:val="center"/>
          </w:tcPr>
          <w:p>
            <w:r>
              <w:t xml:space="preserve">192.168.2.4 (inferred)</w:t>
            </w:r>
          </w:p>
        </w:tc>
      </w:tr>
      <w:tr>
        <w:tc>
          <w:tcPr>
            <w:tcW w:type="dxa" w:w="1600"/>
            <w:tcMar>
              <w:top w:type="dxa" w:w="80"/>
              <w:left w:type="dxa" w:w="100"/>
              <w:bottom w:type="dxa" w:w="80"/>
              <w:right w:type="dxa" w:w="100"/>
            </w:tcMar>
            <w:vAlign w:val="center"/>
          </w:tcPr>
          <w:p>
            <w:r>
              <w:t xml:space="preserve">Cloud</w:t>
            </w:r>
          </w:p>
        </w:tc>
        <w:tc>
          <w:tcPr>
            <w:tcW w:type="dxa" w:w="3160"/>
            <w:tcMar>
              <w:top w:type="dxa" w:w="80"/>
              <w:left w:type="dxa" w:w="100"/>
              <w:bottom w:type="dxa" w:w="80"/>
              <w:right w:type="dxa" w:w="100"/>
            </w:tcMar>
            <w:vAlign w:val="center"/>
          </w:tcPr>
          <w:p>
            <w:r>
              <w:t xml:space="preserve">SimuLandApp</w:t>
            </w:r>
          </w:p>
        </w:tc>
        <w:tc>
          <w:tcPr>
            <w:tcW w:type="dxa" w:w="4600"/>
            <w:tcMar>
              <w:top w:type="dxa" w:w="80"/>
              <w:left w:type="dxa" w:w="100"/>
              <w:bottom w:type="dxa" w:w="80"/>
              <w:right w:type="dxa" w:w="100"/>
            </w:tcMar>
            <w:vAlign w:val="center"/>
          </w:tcPr>
          <w:p>
            <w:r>
              <w:t xml:space="preserve">Azure AD application; updated to request tenant-wide Graph Mail.ReadWrite</w:t>
            </w:r>
          </w:p>
        </w:tc>
      </w:tr>
      <w:tr>
        <w:tc>
          <w:tcPr>
            <w:tcW w:type="dxa" w:w="1600"/>
            <w:shd w:fill="F2F2F2" w:color="auto" w:val="clear"/>
            <w:tcMar>
              <w:top w:type="dxa" w:w="80"/>
              <w:left w:type="dxa" w:w="100"/>
              <w:bottom w:type="dxa" w:w="80"/>
              <w:right w:type="dxa" w:w="100"/>
            </w:tcMar>
            <w:vAlign w:val="center"/>
          </w:tcPr>
          <w:p>
            <w:r>
              <w:t xml:space="preserve">Cloud</w:t>
            </w:r>
          </w:p>
        </w:tc>
        <w:tc>
          <w:tcPr>
            <w:tcW w:type="dxa" w:w="3160"/>
            <w:shd w:fill="F2F2F2" w:color="auto" w:val="clear"/>
            <w:tcMar>
              <w:top w:type="dxa" w:w="80"/>
              <w:left w:type="dxa" w:w="100"/>
              <w:bottom w:type="dxa" w:w="80"/>
              <w:right w:type="dxa" w:w="100"/>
            </w:tcMar>
            <w:vAlign w:val="center"/>
          </w:tcPr>
          <w:p>
            <w:r>
              <w:t xml:space="preserve">SimuLandCreds (KeyId 59eaeebc-…)</w:t>
            </w:r>
          </w:p>
        </w:tc>
        <w:tc>
          <w:tcPr>
            <w:tcW w:type="dxa" w:w="4600"/>
            <w:shd w:fill="F2F2F2" w:color="auto" w:val="clear"/>
            <w:tcMar>
              <w:top w:type="dxa" w:w="80"/>
              <w:left w:type="dxa" w:w="100"/>
              <w:bottom w:type="dxa" w:w="80"/>
              <w:right w:type="dxa" w:w="100"/>
            </w:tcMar>
            <w:vAlign w:val="center"/>
          </w:tcPr>
          <w:p>
            <w:r>
              <w:t xml:space="preserve">Client secret added to SimuLandApp — backdoor credential</w:t>
            </w:r>
          </w:p>
        </w:tc>
      </w:tr>
      <w:tr>
        <w:tc>
          <w:tcPr>
            <w:tcW w:type="dxa" w:w="1600"/>
            <w:tcMar>
              <w:top w:type="dxa" w:w="80"/>
              <w:left w:type="dxa" w:w="100"/>
              <w:bottom w:type="dxa" w:w="80"/>
              <w:right w:type="dxa" w:w="100"/>
            </w:tcMar>
            <w:vAlign w:val="center"/>
          </w:tcPr>
          <w:p>
            <w:r>
              <w:t xml:space="preserve">Cloud</w:t>
            </w:r>
          </w:p>
        </w:tc>
        <w:tc>
          <w:tcPr>
            <w:tcW w:type="dxa" w:w="3160"/>
            <w:tcMar>
              <w:top w:type="dxa" w:w="80"/>
              <w:left w:type="dxa" w:w="100"/>
              <w:bottom w:type="dxa" w:w="80"/>
              <w:right w:type="dxa" w:w="100"/>
            </w:tcMar>
            <w:vAlign w:val="center"/>
          </w:tcPr>
          <w:p>
            <w:r>
              <w:t xml:space="preserve">ClientAppId 5a95e683-…</w:t>
            </w:r>
          </w:p>
        </w:tc>
        <w:tc>
          <w:tcPr>
            <w:tcW w:type="dxa" w:w="4600"/>
            <w:tcMar>
              <w:top w:type="dxa" w:w="80"/>
              <w:left w:type="dxa" w:w="100"/>
              <w:bottom w:type="dxa" w:w="80"/>
              <w:right w:type="dxa" w:w="100"/>
            </w:tcMar>
            <w:vAlign w:val="center"/>
          </w:tcPr>
          <w:p>
            <w:r>
              <w:t xml:space="preserve">Used for Graph REST mail access (MailItemsAccessed)</w:t>
            </w:r>
          </w:p>
        </w:tc>
      </w:tr>
      <w:tr>
        <w:tc>
          <w:tcPr>
            <w:tcW w:type="dxa" w:w="1600"/>
            <w:shd w:fill="F2F2F2" w:color="auto" w:val="clear"/>
            <w:tcMar>
              <w:top w:type="dxa" w:w="80"/>
              <w:left w:type="dxa" w:w="100"/>
              <w:bottom w:type="dxa" w:w="80"/>
              <w:right w:type="dxa" w:w="100"/>
            </w:tcMar>
            <w:vAlign w:val="center"/>
          </w:tcPr>
          <w:p>
            <w:r>
              <w:t xml:space="preserve">Cloud</w:t>
            </w:r>
          </w:p>
        </w:tc>
        <w:tc>
          <w:tcPr>
            <w:tcW w:type="dxa" w:w="3160"/>
            <w:shd w:fill="F2F2F2" w:color="auto" w:val="clear"/>
            <w:tcMar>
              <w:top w:type="dxa" w:w="80"/>
              <w:left w:type="dxa" w:w="100"/>
              <w:bottom w:type="dxa" w:w="80"/>
              <w:right w:type="dxa" w:w="100"/>
            </w:tcMar>
            <w:vAlign w:val="center"/>
          </w:tcPr>
          <w:p>
            <w:r>
              <w:t xml:space="preserve">User agent: WindowsPowerShell/5.1.17763.1971</w:t>
            </w:r>
          </w:p>
        </w:tc>
        <w:tc>
          <w:tcPr>
            <w:tcW w:type="dxa" w:w="4600"/>
            <w:shd w:fill="F2F2F2" w:color="auto" w:val="clear"/>
            <w:tcMar>
              <w:top w:type="dxa" w:w="80"/>
              <w:left w:type="dxa" w:w="100"/>
              <w:bottom w:type="dxa" w:w="80"/>
              <w:right w:type="dxa" w:w="100"/>
            </w:tcMar>
            <w:vAlign w:val="center"/>
          </w:tcPr>
          <w:p>
            <w:r>
              <w:t xml:space="preserve">Associated with the scripted PowerShell activity</w:t>
            </w:r>
          </w:p>
        </w:tc>
      </w:tr>
      <w:tr>
        <w:tc>
          <w:tcPr>
            <w:tcW w:type="dxa" w:w="1600"/>
            <w:tcMar>
              <w:top w:type="dxa" w:w="80"/>
              <w:left w:type="dxa" w:w="100"/>
              <w:bottom w:type="dxa" w:w="80"/>
              <w:right w:type="dxa" w:w="100"/>
            </w:tcMar>
            <w:vAlign w:val="center"/>
          </w:tcPr>
          <w:p>
            <w:r>
              <w:t xml:space="preserve">Not usable</w:t>
            </w:r>
          </w:p>
        </w:tc>
        <w:tc>
          <w:tcPr>
            <w:tcW w:type="dxa" w:w="3160"/>
            <w:tcMar>
              <w:top w:type="dxa" w:w="80"/>
              <w:left w:type="dxa" w:w="100"/>
              <w:bottom w:type="dxa" w:w="80"/>
              <w:right w:type="dxa" w:w="100"/>
            </w:tcMar>
            <w:vAlign w:val="center"/>
          </w:tcPr>
          <w:p>
            <w:r>
              <w:t xml:space="preserve">IP 1.2.3.4</w:t>
            </w:r>
          </w:p>
        </w:tc>
        <w:tc>
          <w:tcPr>
            <w:tcW w:type="dxa" w:w="4600"/>
            <w:tcMar>
              <w:top w:type="dxa" w:w="80"/>
              <w:left w:type="dxa" w:w="100"/>
              <w:bottom w:type="dxa" w:w="80"/>
              <w:right w:type="dxa" w:w="100"/>
            </w:tcMar>
            <w:vAlign w:val="center"/>
          </w:tcPr>
          <w:p>
            <w:r>
              <w:t xml:space="preserve">Placeholder value, not a real indicator. No IP address appears in both data sources.</w:t>
            </w:r>
          </w:p>
        </w:tc>
      </w:tr>
    </w:tbl>
    <w:p>
      <w:pPr>
        <w:spacing w:before="200"/>
      </w:pPr>
    </w:p>
    <w:p>
      <w:pPr>
        <w:pStyle w:val="Heading2"/>
        <w:spacing w:after="140" w:before="280"/>
      </w:pPr>
      <w:r>
        <w:rPr>
          <w:b/>
          <w:bCs/>
          <w:color w:val="1F3864"/>
        </w:rPr>
        <w:t xml:space="preserve">Evidence Collected</w:t>
      </w:r>
    </w:p>
    <w:p>
      <w:pPr>
        <w:pStyle w:val="ListParagraph"/>
        <w:numPr>
          <w:ilvl w:val="0"/>
          <w:numId w:val="2"/>
        </w:numPr>
        <w:spacing w:after="100"/>
      </w:pPr>
      <w:r>
        <w:t xml:space="preserve">Sysmon Event ID 18 — PowerShell pipe/process activity on ADFS01 corresponding to the WID database connection.</w:t>
      </w:r>
    </w:p>
    <w:p>
      <w:pPr>
        <w:pStyle w:val="ListParagraph"/>
        <w:numPr>
          <w:ilvl w:val="0"/>
          <w:numId w:val="2"/>
        </w:numPr>
        <w:spacing w:after="100"/>
      </w:pPr>
      <w:r>
        <w:t xml:space="preserve">Windows Internal Database (WID) audit event 33205 — corresponds to the ServiceSettingsData dump.</w:t>
      </w:r>
    </w:p>
    <w:p>
      <w:pPr>
        <w:pStyle w:val="ListParagraph"/>
        <w:numPr>
          <w:ilvl w:val="0"/>
          <w:numId w:val="2"/>
        </w:numPr>
        <w:spacing w:after="100"/>
      </w:pPr>
      <w:r>
        <w:t xml:space="preserve">Windows Security Event 4662 — three reads of the DKM key (thumbnailPhoto attribute) on DC01.</w:t>
      </w:r>
    </w:p>
    <w:p>
      <w:pPr>
        <w:pStyle w:val="ListParagraph"/>
        <w:numPr>
          <w:ilvl w:val="0"/>
          <w:numId w:val="2"/>
        </w:numPr>
        <w:spacing w:after="100"/>
      </w:pPr>
      <w:r>
        <w:t xml:space="preserve">Microsoft Graph / Entra ID audit log entries — SimuLandApp permission update, the AllPrincipals delegated grant, and the SimuLandCreds secret addition.</w:t>
      </w:r>
    </w:p>
    <w:p>
      <w:pPr>
        <w:pStyle w:val="ListParagraph"/>
        <w:numPr>
          <w:ilvl w:val="0"/>
          <w:numId w:val="2"/>
        </w:numPr>
        <w:spacing w:after="100"/>
      </w:pPr>
      <w:r>
        <w:t xml:space="preserve">Unified Audit Log — MailItemsAccessed record for pgustavo's Inbox (7 messages), via Graph REST under ClientAppId 5a95e683-….</w:t>
      </w:r>
    </w:p>
    <w:p>
      <w:r>
        <w:br w:type="page"/>
      </w:r>
    </w:p>
    <w:p>
      <w:pPr>
        <w:pStyle w:val="Heading1"/>
        <w:spacing w:after="180" w:before="360"/>
      </w:pPr>
      <w:r>
        <w:rPr>
          <w:b/>
          <w:bCs/>
          <w:color w:val="1F3864"/>
        </w:rPr>
        <w:t xml:space="preserve">4. Impact Assessment</w:t>
      </w:r>
    </w:p>
    <w:p>
      <w:pPr>
        <w:pStyle w:val="Heading2"/>
        <w:spacing w:after="140" w:before="280"/>
      </w:pPr>
      <w:r>
        <w:rPr>
          <w:b/>
          <w:bCs/>
          <w:color w:val="1F3864"/>
        </w:rPr>
        <w:t xml:space="preserve">Data at Risk</w:t>
      </w:r>
    </w:p>
    <w:p>
      <w:pPr>
        <w:pStyle w:val="ListParagraph"/>
        <w:numPr>
          <w:ilvl w:val="0"/>
          <w:numId w:val="2"/>
        </w:numPr>
        <w:spacing w:after="100"/>
      </w:pPr>
      <w:r>
        <w:t xml:space="preserve">AD FS token-signing configuration and DKM key: if successfully exfiltrated and used, this material is sufficient to forge SAML tokens for any federated user in the tenant.</w:t>
      </w:r>
    </w:p>
    <w:p>
      <w:pPr>
        <w:pStyle w:val="ListParagraph"/>
        <w:numPr>
          <w:ilvl w:val="0"/>
          <w:numId w:val="2"/>
        </w:numPr>
        <w:spacing w:after="100"/>
      </w:pPr>
      <w:r>
        <w:t xml:space="preserve">pgustavo's Inbox: 7 messages confirmed accessed via Graph REST.</w:t>
      </w:r>
    </w:p>
    <w:p>
      <w:pPr>
        <w:pStyle w:val="ListParagraph"/>
        <w:numPr>
          <w:ilvl w:val="0"/>
          <w:numId w:val="2"/>
        </w:numPr>
        <w:spacing w:after="100"/>
      </w:pPr>
      <w:r>
        <w:t xml:space="preserve">Other mailboxes: access is unknown; not ruled out, given the tenant-wide Mail.ReadWrite consent granted to SimuLandApp.</w:t>
      </w:r>
    </w:p>
    <w:p>
      <w:pPr>
        <w:pStyle w:val="Heading2"/>
        <w:spacing w:after="140" w:before="280"/>
      </w:pPr>
      <w:r>
        <w:rPr>
          <w:b/>
          <w:bCs/>
          <w:color w:val="1F3864"/>
        </w:rPr>
        <w:t xml:space="preserve">Systems Affected</w:t>
      </w:r>
    </w:p>
    <w:p>
      <w:pPr>
        <w:pStyle w:val="ListParagraph"/>
        <w:numPr>
          <w:ilvl w:val="0"/>
          <w:numId w:val="2"/>
        </w:numPr>
        <w:spacing w:after="100"/>
      </w:pPr>
      <w:r>
        <w:t xml:space="preserve">ADFS01 — federation server (192.168.2.5).</w:t>
      </w:r>
    </w:p>
    <w:p>
      <w:pPr>
        <w:pStyle w:val="ListParagraph"/>
        <w:numPr>
          <w:ilvl w:val="0"/>
          <w:numId w:val="2"/>
        </w:numPr>
        <w:spacing w:after="100"/>
      </w:pPr>
      <w:r>
        <w:t xml:space="preserve">DC01 — domain controller, inferred (192.168.2.4).</w:t>
      </w:r>
    </w:p>
    <w:p>
      <w:pPr>
        <w:pStyle w:val="ListParagraph"/>
        <w:numPr>
          <w:ilvl w:val="0"/>
          <w:numId w:val="2"/>
        </w:numPr>
        <w:spacing w:after="100"/>
      </w:pPr>
      <w:r>
        <w:t xml:space="preserve">SimuLandApp — Azure AD application holding tenant-wide Mail.ReadWrite consent and an added backdoor credential (SimuLandCreds).</w:t>
      </w:r>
    </w:p>
    <w:p>
      <w:pPr>
        <w:pStyle w:val="ListParagraph"/>
        <w:numPr>
          <w:ilvl w:val="0"/>
          <w:numId w:val="2"/>
        </w:numPr>
        <w:spacing w:after="100"/>
      </w:pPr>
      <w:r>
        <w:t xml:space="preserve">pgustavo@simulandlabs.com — cloud mailbox with confirmed data access.</w:t>
      </w:r>
    </w:p>
    <w:p>
      <w:pPr>
        <w:pStyle w:val="Heading2"/>
        <w:spacing w:after="140" w:before="280"/>
      </w:pPr>
      <w:r>
        <w:rPr>
          <w:b/>
          <w:bCs/>
          <w:color w:val="1F3864"/>
        </w:rPr>
        <w:t xml:space="preserve">Business Operations Impact</w:t>
      </w:r>
    </w:p>
    <w:p>
      <w:pPr>
        <w:spacing w:after="160"/>
      </w:pPr>
      <w:r>
        <w:rPr>
          <w:b/>
          <w:bCs/>
        </w:rPr>
        <w:t xml:space="preserve">Business operations impact: </w:t>
      </w:r>
      <w:r>
        <w:rPr>
          <w:i/>
          <w:iCs/>
          <w:color w:val="595959"/>
        </w:rPr>
        <w:t xml:space="preserve">Not determined from available data</w:t>
      </w:r>
    </w:p>
    <w:p>
      <w:r>
        <w:br w:type="page"/>
      </w:r>
    </w:p>
    <w:p>
      <w:pPr>
        <w:pStyle w:val="Heading1"/>
        <w:spacing w:after="180" w:before="360"/>
      </w:pPr>
      <w:r>
        <w:rPr>
          <w:b/>
          <w:bCs/>
          <w:color w:val="1F3864"/>
        </w:rPr>
        <w:t xml:space="preserve">5. Containment &amp; Remediation</w:t>
      </w:r>
    </w:p>
    <w:p>
      <w:pPr>
        <w:pStyle w:val="Heading2"/>
        <w:spacing w:after="140" w:before="280"/>
      </w:pPr>
      <w:r>
        <w:rPr>
          <w:b/>
          <w:bCs/>
          <w:color w:val="1F3864"/>
        </w:rPr>
        <w:t xml:space="preserve">Immediate Actions Taken</w:t>
      </w:r>
    </w:p>
    <w:p>
      <w:pPr>
        <w:spacing w:after="160"/>
      </w:pPr>
      <w:r>
        <w:rPr>
          <w:b/>
          <w:bCs/>
        </w:rPr>
        <w:t xml:space="preserve">Actions already taken to contain the incident: </w:t>
      </w:r>
      <w:r>
        <w:rPr>
          <w:i/>
          <w:iCs/>
          <w:color w:val="595959"/>
        </w:rPr>
        <w:t xml:space="preserve">Not determined from available data</w:t>
      </w:r>
    </w:p>
    <w:p>
      <w:pPr>
        <w:pStyle w:val="Heading2"/>
        <w:spacing w:after="140" w:before="280"/>
      </w:pPr>
      <w:r>
        <w:rPr>
          <w:b/>
          <w:bCs/>
          <w:color w:val="1F3864"/>
        </w:rPr>
        <w:t xml:space="preserve">Short-Term Remediation Steps</w:t>
      </w:r>
    </w:p>
    <w:p>
      <w:pPr>
        <w:spacing w:after="160"/>
      </w:pPr>
      <w:r>
        <w:t xml:space="preserve">The following containment actions are recommended in the source investigation summary; their execution status is not determined from available data.</w:t>
      </w:r>
    </w:p>
    <w:p>
      <w:pPr>
        <w:pStyle w:val="ListParagraph"/>
        <w:numPr>
          <w:ilvl w:val="0"/>
          <w:numId w:val="2"/>
        </w:numPr>
        <w:spacing w:after="100"/>
      </w:pPr>
      <w:r>
        <w:t xml:space="preserve">Remove the SimuLandCreds secret and revoke the AllPrincipals grant on SimuLandApp.</w:t>
      </w:r>
    </w:p>
    <w:p>
      <w:pPr>
        <w:pStyle w:val="ListParagraph"/>
        <w:numPr>
          <w:ilvl w:val="0"/>
          <w:numId w:val="2"/>
        </w:numPr>
        <w:spacing w:after="100"/>
      </w:pPr>
      <w:r>
        <w:t xml:space="preserve">Revoke pgustavo's sessions and reset the account's credentials.</w:t>
      </w:r>
    </w:p>
    <w:p>
      <w:pPr>
        <w:pStyle w:val="ListParagraph"/>
        <w:numPr>
          <w:ilvl w:val="0"/>
          <w:numId w:val="2"/>
        </w:numPr>
        <w:spacing w:after="100"/>
      </w:pPr>
      <w:r>
        <w:t xml:space="preserve">Rotate the AD FS token-signing and token-decryption certificates twice.</w:t>
      </w:r>
    </w:p>
    <w:p>
      <w:pPr>
        <w:pStyle w:val="ListParagraph"/>
        <w:numPr>
          <w:ilvl w:val="0"/>
          <w:numId w:val="2"/>
        </w:numPr>
        <w:spacing w:after="100"/>
      </w:pPr>
      <w:r>
        <w:t xml:space="preserve">Reset the wardog / built-in Administrator account.</w:t>
      </w:r>
    </w:p>
    <w:p>
      <w:pPr>
        <w:pStyle w:val="Heading2"/>
        <w:spacing w:after="140" w:before="280"/>
      </w:pPr>
      <w:r>
        <w:rPr>
          <w:b/>
          <w:bCs/>
          <w:color w:val="1F3864"/>
        </w:rPr>
        <w:t xml:space="preserve">Long-Term Improvements</w:t>
      </w:r>
    </w:p>
    <w:p>
      <w:pPr>
        <w:spacing w:after="160"/>
      </w:pPr>
      <w:r>
        <w:rPr>
          <w:b/>
          <w:bCs/>
        </w:rPr>
        <w:t xml:space="preserve">Long-term security improvements: </w:t>
      </w:r>
      <w:r>
        <w:rPr>
          <w:i/>
          <w:iCs/>
          <w:color w:val="595959"/>
        </w:rPr>
        <w:t xml:space="preserve">Not determined from available data</w:t>
      </w:r>
    </w:p>
    <w:p>
      <w:r>
        <w:br w:type="page"/>
      </w:r>
    </w:p>
    <w:p>
      <w:pPr>
        <w:pStyle w:val="Heading1"/>
        <w:spacing w:after="180" w:before="360"/>
      </w:pPr>
      <w:r>
        <w:rPr>
          <w:b/>
          <w:bCs/>
          <w:color w:val="1F3864"/>
        </w:rPr>
        <w:t xml:space="preserve">6. Recommendations</w:t>
      </w:r>
    </w:p>
    <w:p>
      <w:pPr>
        <w:pStyle w:val="Heading2"/>
        <w:spacing w:after="140" w:before="280"/>
      </w:pPr>
      <w:r>
        <w:rPr>
          <w:b/>
          <w:bCs/>
          <w:color w:val="1F3864"/>
        </w:rPr>
        <w:t xml:space="preserve">Prioritized List of Security Improvements</w:t>
      </w:r>
    </w:p>
    <w:p>
      <w:pPr>
        <w:pStyle w:val="ListParagraph"/>
        <w:numPr>
          <w:ilvl w:val="0"/>
          <w:numId w:val="4"/>
        </w:numPr>
        <w:spacing w:after="100"/>
      </w:pPr>
      <w:r>
        <w:t xml:space="preserve">Remove the SimuLandCreds secret and revoke the AllPrincipals grant on SimuLandApp.</w:t>
      </w:r>
    </w:p>
    <w:p>
      <w:pPr>
        <w:pStyle w:val="ListParagraph"/>
        <w:numPr>
          <w:ilvl w:val="0"/>
          <w:numId w:val="4"/>
        </w:numPr>
        <w:spacing w:after="100"/>
      </w:pPr>
      <w:r>
        <w:t xml:space="preserve">Revoke pgustavo's sessions and reset the account's credentials.</w:t>
      </w:r>
    </w:p>
    <w:p>
      <w:pPr>
        <w:pStyle w:val="ListParagraph"/>
        <w:numPr>
          <w:ilvl w:val="0"/>
          <w:numId w:val="4"/>
        </w:numPr>
        <w:spacing w:after="100"/>
      </w:pPr>
      <w:r>
        <w:t xml:space="preserve">Rotate the AD FS token-signing and token-decryption certificates twice.</w:t>
      </w:r>
    </w:p>
    <w:p>
      <w:pPr>
        <w:pStyle w:val="ListParagraph"/>
        <w:numPr>
          <w:ilvl w:val="0"/>
          <w:numId w:val="4"/>
        </w:numPr>
        <w:spacing w:after="100"/>
      </w:pPr>
      <w:r>
        <w:t xml:space="preserve">Reset the wardog / built-in Administrator account.</w:t>
      </w:r>
    </w:p>
    <w:p>
      <w:pPr>
        <w:pStyle w:val="ListParagraph"/>
        <w:numPr>
          <w:ilvl w:val="0"/>
          <w:numId w:val="4"/>
        </w:numPr>
        <w:spacing w:after="100"/>
      </w:pPr>
      <w:r>
        <w:t xml:space="preserve">Review Azure AD SigninLogs for pgustavo (13:00–13:45 UTC) and AD FS events 1200/1202 on ADFS01, to determine whether a forged token or real credentials were used.</w:t>
      </w:r>
    </w:p>
    <w:p>
      <w:pPr>
        <w:pStyle w:val="ListParagraph"/>
        <w:numPr>
          <w:ilvl w:val="0"/>
          <w:numId w:val="4"/>
        </w:numPr>
        <w:spacing w:after="100"/>
      </w:pPr>
      <w:r>
        <w:t xml:space="preserve">Collect ADFS01 process and network telemetry (Sysmon 1/3/22, Windows Event 4688, PowerShell 4103/4104).</w:t>
      </w:r>
    </w:p>
    <w:p>
      <w:pPr>
        <w:pStyle w:val="ListParagraph"/>
        <w:numPr>
          <w:ilvl w:val="0"/>
          <w:numId w:val="4"/>
        </w:numPr>
        <w:spacing w:after="100"/>
      </w:pPr>
      <w:r>
        <w:t xml:space="preserve">Review service principal sign-ins for SimuLandApp and the Unified Audit Log for access to other mailboxes.</w:t>
      </w:r>
    </w:p>
    <w:p>
      <w:pPr>
        <w:pStyle w:val="ListParagraph"/>
        <w:numPr>
          <w:ilvl w:val="0"/>
          <w:numId w:val="4"/>
        </w:numPr>
        <w:spacing w:after="100"/>
      </w:pPr>
      <w:r>
        <w:t xml:space="preserve">Pull directory data: pgustavo's assigned roles, onPremisesSecurityIdentifier, and SimuLandApp's appId.</w:t>
      </w:r>
    </w:p>
    <w:p>
      <w:pPr>
        <w:pStyle w:val="ListParagraph"/>
        <w:numPr>
          <w:ilvl w:val="0"/>
          <w:numId w:val="4"/>
        </w:numPr>
        <w:spacing w:after="100"/>
      </w:pPr>
      <w:r>
        <w:t xml:space="preserve">Investigate initial access: wardog's logon history on ADFS01 and a wider time window before 13:05 UTC.</w:t>
      </w:r>
    </w:p>
    <w:p>
      <w:pPr>
        <w:pStyle w:val="Heading2"/>
        <w:spacing w:after="140" w:before="280"/>
      </w:pPr>
      <w:r>
        <w:rPr>
          <w:b/>
          <w:bCs/>
          <w:color w:val="1F3864"/>
        </w:rPr>
        <w:t xml:space="preserve">Detection Gaps to Address</w:t>
      </w:r>
    </w:p>
    <w:p>
      <w:pPr>
        <w:pStyle w:val="ListParagraph"/>
        <w:numPr>
          <w:ilvl w:val="0"/>
          <w:numId w:val="2"/>
        </w:numPr>
        <w:spacing w:after="100"/>
      </w:pPr>
      <w:r>
        <w:t xml:space="preserve">No telemetry exists for the 13:15–13:25 UTC window connecting the on-prem and cloud phases; this blind spot prevented direct observation of the pivot (e.g., token forgery or sign-in as pgustavo).</w:t>
      </w:r>
    </w:p>
    <w:p>
      <w:pPr>
        <w:pStyle w:val="ListParagraph"/>
        <w:numPr>
          <w:ilvl w:val="0"/>
          <w:numId w:val="2"/>
        </w:numPr>
        <w:spacing w:after="100"/>
      </w:pPr>
      <w:r>
        <w:t xml:space="preserve">No IP address correlates across the on-prem and cloud data sources, limiting the ability to link the two phases via network indicators.</w:t>
      </w:r>
    </w:p>
    <w:p>
      <w:pPr>
        <w:pStyle w:val="ListParagraph"/>
        <w:numPr>
          <w:ilvl w:val="0"/>
          <w:numId w:val="2"/>
        </w:numPr>
        <w:spacing w:after="100"/>
      </w:pPr>
      <w:r>
        <w:t xml:space="preserve">pgustavo's on-prem and cloud identities were matched by name only; there is no independently verified technical linkage (e.g., via onPremisesSecurityIdentifier) confirming they are the same account.</w:t>
      </w:r>
    </w:p>
    <w:p>
      <w:pPr>
        <w:pStyle w:val="ListParagraph"/>
        <w:numPr>
          <w:ilvl w:val="0"/>
          <w:numId w:val="2"/>
        </w:numPr>
        <w:spacing w:after="100"/>
      </w:pPr>
      <w:r>
        <w:t xml:space="preserve">Forged-token (Golden SAML) use versus compromised real-credential use cannot currently be distinguished from available evidence.</w:t>
      </w:r>
    </w:p>
    <w:p>
      <w:r>
        <w:br w:type="page"/>
      </w:r>
    </w:p>
    <w:p>
      <w:pPr>
        <w:pStyle w:val="Heading1"/>
        <w:spacing w:after="180" w:before="360"/>
      </w:pPr>
      <w:r>
        <w:rPr>
          <w:b/>
          <w:bCs/>
          <w:color w:val="1F3864"/>
        </w:rPr>
        <w:t xml:space="preserve">7. Appendices</w:t>
      </w:r>
    </w:p>
    <w:p>
      <w:pPr>
        <w:pStyle w:val="Heading2"/>
        <w:spacing w:after="140" w:before="280"/>
      </w:pPr>
      <w:r>
        <w:rPr>
          <w:b/>
          <w:bCs/>
          <w:color w:val="1F3864"/>
        </w:rPr>
        <w:t xml:space="preserve">Appendix A – Full IOC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160"/>
        <w:gridCol w:w="4600"/>
      </w:tblGrid>
      <w:tr>
        <w:trPr>
          <w:tblHeader/>
        </w:trPr>
        <w:tc>
          <w:tcPr>
            <w:tcW w:type="dxa" w:w="1600"/>
            <w:shd w:fill="1F3864" w:color="auto" w:val="clear"/>
            <w:tcMar>
              <w:top w:type="dxa" w:w="80"/>
              <w:left w:type="dxa" w:w="100"/>
              <w:bottom w:type="dxa" w:w="80"/>
              <w:right w:type="dxa" w:w="100"/>
            </w:tcMar>
            <w:vAlign w:val="center"/>
          </w:tcPr>
          <w:p>
            <w:r>
              <w:rPr>
                <w:b/>
                <w:bCs/>
                <w:color w:val="FFFFFF"/>
              </w:rPr>
              <w:t xml:space="preserve">Category</w:t>
            </w:r>
          </w:p>
        </w:tc>
        <w:tc>
          <w:tcPr>
            <w:tcW w:type="dxa" w:w="3160"/>
            <w:shd w:fill="1F3864" w:color="auto" w:val="clear"/>
            <w:tcMar>
              <w:top w:type="dxa" w:w="80"/>
              <w:left w:type="dxa" w:w="100"/>
              <w:bottom w:type="dxa" w:w="80"/>
              <w:right w:type="dxa" w:w="100"/>
            </w:tcMar>
            <w:vAlign w:val="center"/>
          </w:tcPr>
          <w:p>
            <w:r>
              <w:rPr>
                <w:b/>
                <w:bCs/>
                <w:color w:val="FFFFFF"/>
              </w:rPr>
              <w:t xml:space="preserve">Indicator</w:t>
            </w:r>
          </w:p>
        </w:tc>
        <w:tc>
          <w:tcPr>
            <w:tcW w:type="dxa" w:w="4600"/>
            <w:shd w:fill="1F3864" w:color="auto" w:val="clear"/>
            <w:tcMar>
              <w:top w:type="dxa" w:w="80"/>
              <w:left w:type="dxa" w:w="100"/>
              <w:bottom w:type="dxa" w:w="80"/>
              <w:right w:type="dxa" w:w="100"/>
            </w:tcMar>
            <w:vAlign w:val="center"/>
          </w:tcPr>
          <w:p>
            <w:r>
              <w:rPr>
                <w:b/>
                <w:bCs/>
                <w:color w:val="FFFFFF"/>
              </w:rPr>
              <w:t xml:space="preserve">Notes</w:t>
            </w:r>
          </w:p>
        </w:tc>
      </w:tr>
      <w:tr>
        <w:tc>
          <w:tcPr>
            <w:tcW w:type="dxa" w:w="1600"/>
            <w:tcMar>
              <w:top w:type="dxa" w:w="80"/>
              <w:left w:type="dxa" w:w="100"/>
              <w:bottom w:type="dxa" w:w="80"/>
              <w:right w:type="dxa" w:w="100"/>
            </w:tcMar>
            <w:vAlign w:val="center"/>
          </w:tcPr>
          <w:p>
            <w:r>
              <w:t xml:space="preserve">Account</w:t>
            </w:r>
          </w:p>
        </w:tc>
        <w:tc>
          <w:tcPr>
            <w:tcW w:type="dxa" w:w="3160"/>
            <w:tcMar>
              <w:top w:type="dxa" w:w="80"/>
              <w:left w:type="dxa" w:w="100"/>
              <w:bottom w:type="dxa" w:w="80"/>
              <w:right w:type="dxa" w:w="100"/>
            </w:tcMar>
            <w:vAlign w:val="center"/>
          </w:tcPr>
          <w:p>
            <w:r>
              <w:t xml:space="preserve">SIMULANDLABS\wardog</w:t>
            </w:r>
          </w:p>
        </w:tc>
        <w:tc>
          <w:tcPr>
            <w:tcW w:type="dxa" w:w="4600"/>
            <w:tcMar>
              <w:top w:type="dxa" w:w="80"/>
              <w:left w:type="dxa" w:w="100"/>
              <w:bottom w:type="dxa" w:w="80"/>
              <w:right w:type="dxa" w:w="100"/>
            </w:tcMar>
            <w:vAlign w:val="center"/>
          </w:tcPr>
          <w:p>
            <w:r>
              <w:t xml:space="preserve">Built-in Administrator account, RID 500</w:t>
            </w:r>
          </w:p>
        </w:tc>
      </w:tr>
      <w:tr>
        <w:tc>
          <w:tcPr>
            <w:tcW w:type="dxa" w:w="1600"/>
            <w:shd w:fill="F2F2F2" w:color="auto" w:val="clear"/>
            <w:tcMar>
              <w:top w:type="dxa" w:w="80"/>
              <w:left w:type="dxa" w:w="100"/>
              <w:bottom w:type="dxa" w:w="80"/>
              <w:right w:type="dxa" w:w="100"/>
            </w:tcMar>
            <w:vAlign w:val="center"/>
          </w:tcPr>
          <w:p>
            <w:r>
              <w:t xml:space="preserve">Account</w:t>
            </w:r>
          </w:p>
        </w:tc>
        <w:tc>
          <w:tcPr>
            <w:tcW w:type="dxa" w:w="3160"/>
            <w:shd w:fill="F2F2F2" w:color="auto" w:val="clear"/>
            <w:tcMar>
              <w:top w:type="dxa" w:w="80"/>
              <w:left w:type="dxa" w:w="100"/>
              <w:bottom w:type="dxa" w:w="80"/>
              <w:right w:type="dxa" w:w="100"/>
            </w:tcMar>
            <w:vAlign w:val="center"/>
          </w:tcPr>
          <w:p>
            <w:r>
              <w:t xml:space="preserve">pgustavo@simulandlabs.com</w:t>
            </w:r>
          </w:p>
        </w:tc>
        <w:tc>
          <w:tcPr>
            <w:tcW w:type="dxa" w:w="4600"/>
            <w:shd w:fill="F2F2F2" w:color="auto" w:val="clear"/>
            <w:tcMar>
              <w:top w:type="dxa" w:w="80"/>
              <w:left w:type="dxa" w:w="100"/>
              <w:bottom w:type="dxa" w:w="80"/>
              <w:right w:type="dxa" w:w="100"/>
            </w:tcMar>
            <w:vAlign w:val="center"/>
          </w:tcPr>
          <w:p>
            <w:r>
              <w:t xml:space="preserve">On-prem SID …-1105; cloud object aead923d-…; matched to the on-prem account by name only — not independently verified as the same identity</w:t>
            </w:r>
          </w:p>
        </w:tc>
      </w:tr>
      <w:tr>
        <w:tc>
          <w:tcPr>
            <w:tcW w:type="dxa" w:w="1600"/>
            <w:tcMar>
              <w:top w:type="dxa" w:w="80"/>
              <w:left w:type="dxa" w:w="100"/>
              <w:bottom w:type="dxa" w:w="80"/>
              <w:right w:type="dxa" w:w="100"/>
            </w:tcMar>
            <w:vAlign w:val="center"/>
          </w:tcPr>
          <w:p>
            <w:r>
              <w:t xml:space="preserve">Host</w:t>
            </w:r>
          </w:p>
        </w:tc>
        <w:tc>
          <w:tcPr>
            <w:tcW w:type="dxa" w:w="3160"/>
            <w:tcMar>
              <w:top w:type="dxa" w:w="80"/>
              <w:left w:type="dxa" w:w="100"/>
              <w:bottom w:type="dxa" w:w="80"/>
              <w:right w:type="dxa" w:w="100"/>
            </w:tcMar>
            <w:vAlign w:val="center"/>
          </w:tcPr>
          <w:p>
            <w:r>
              <w:t xml:space="preserve">ADFS01</w:t>
            </w:r>
          </w:p>
        </w:tc>
        <w:tc>
          <w:tcPr>
            <w:tcW w:type="dxa" w:w="4600"/>
            <w:tcMar>
              <w:top w:type="dxa" w:w="80"/>
              <w:left w:type="dxa" w:w="100"/>
              <w:bottom w:type="dxa" w:w="80"/>
              <w:right w:type="dxa" w:w="100"/>
            </w:tcMar>
            <w:vAlign w:val="center"/>
          </w:tcPr>
          <w:p>
            <w:r>
              <w:t xml:space="preserve">192.168.2.5</w:t>
            </w:r>
          </w:p>
        </w:tc>
      </w:tr>
      <w:tr>
        <w:tc>
          <w:tcPr>
            <w:tcW w:type="dxa" w:w="1600"/>
            <w:shd w:fill="F2F2F2" w:color="auto" w:val="clear"/>
            <w:tcMar>
              <w:top w:type="dxa" w:w="80"/>
              <w:left w:type="dxa" w:w="100"/>
              <w:bottom w:type="dxa" w:w="80"/>
              <w:right w:type="dxa" w:w="100"/>
            </w:tcMar>
            <w:vAlign w:val="center"/>
          </w:tcPr>
          <w:p>
            <w:r>
              <w:t xml:space="preserve">Host</w:t>
            </w:r>
          </w:p>
        </w:tc>
        <w:tc>
          <w:tcPr>
            <w:tcW w:type="dxa" w:w="3160"/>
            <w:shd w:fill="F2F2F2" w:color="auto" w:val="clear"/>
            <w:tcMar>
              <w:top w:type="dxa" w:w="80"/>
              <w:left w:type="dxa" w:w="100"/>
              <w:bottom w:type="dxa" w:w="80"/>
              <w:right w:type="dxa" w:w="100"/>
            </w:tcMar>
            <w:vAlign w:val="center"/>
          </w:tcPr>
          <w:p>
            <w:r>
              <w:t xml:space="preserve">DC01</w:t>
            </w:r>
          </w:p>
        </w:tc>
        <w:tc>
          <w:tcPr>
            <w:tcW w:type="dxa" w:w="4600"/>
            <w:shd w:fill="F2F2F2" w:color="auto" w:val="clear"/>
            <w:tcMar>
              <w:top w:type="dxa" w:w="80"/>
              <w:left w:type="dxa" w:w="100"/>
              <w:bottom w:type="dxa" w:w="80"/>
              <w:right w:type="dxa" w:w="100"/>
            </w:tcMar>
            <w:vAlign w:val="center"/>
          </w:tcPr>
          <w:p>
            <w:r>
              <w:t xml:space="preserve">192.168.2.4 (inferred)</w:t>
            </w:r>
          </w:p>
        </w:tc>
      </w:tr>
      <w:tr>
        <w:tc>
          <w:tcPr>
            <w:tcW w:type="dxa" w:w="1600"/>
            <w:tcMar>
              <w:top w:type="dxa" w:w="80"/>
              <w:left w:type="dxa" w:w="100"/>
              <w:bottom w:type="dxa" w:w="80"/>
              <w:right w:type="dxa" w:w="100"/>
            </w:tcMar>
            <w:vAlign w:val="center"/>
          </w:tcPr>
          <w:p>
            <w:r>
              <w:t xml:space="preserve">Cloud</w:t>
            </w:r>
          </w:p>
        </w:tc>
        <w:tc>
          <w:tcPr>
            <w:tcW w:type="dxa" w:w="3160"/>
            <w:tcMar>
              <w:top w:type="dxa" w:w="80"/>
              <w:left w:type="dxa" w:w="100"/>
              <w:bottom w:type="dxa" w:w="80"/>
              <w:right w:type="dxa" w:w="100"/>
            </w:tcMar>
            <w:vAlign w:val="center"/>
          </w:tcPr>
          <w:p>
            <w:r>
              <w:t xml:space="preserve">SimuLandApp</w:t>
            </w:r>
          </w:p>
        </w:tc>
        <w:tc>
          <w:tcPr>
            <w:tcW w:type="dxa" w:w="4600"/>
            <w:tcMar>
              <w:top w:type="dxa" w:w="80"/>
              <w:left w:type="dxa" w:w="100"/>
              <w:bottom w:type="dxa" w:w="80"/>
              <w:right w:type="dxa" w:w="100"/>
            </w:tcMar>
            <w:vAlign w:val="center"/>
          </w:tcPr>
          <w:p>
            <w:r>
              <w:t xml:space="preserve">Azure AD application; updated to request tenant-wide Graph Mail.ReadWrite</w:t>
            </w:r>
          </w:p>
        </w:tc>
      </w:tr>
      <w:tr>
        <w:tc>
          <w:tcPr>
            <w:tcW w:type="dxa" w:w="1600"/>
            <w:shd w:fill="F2F2F2" w:color="auto" w:val="clear"/>
            <w:tcMar>
              <w:top w:type="dxa" w:w="80"/>
              <w:left w:type="dxa" w:w="100"/>
              <w:bottom w:type="dxa" w:w="80"/>
              <w:right w:type="dxa" w:w="100"/>
            </w:tcMar>
            <w:vAlign w:val="center"/>
          </w:tcPr>
          <w:p>
            <w:r>
              <w:t xml:space="preserve">Cloud</w:t>
            </w:r>
          </w:p>
        </w:tc>
        <w:tc>
          <w:tcPr>
            <w:tcW w:type="dxa" w:w="3160"/>
            <w:shd w:fill="F2F2F2" w:color="auto" w:val="clear"/>
            <w:tcMar>
              <w:top w:type="dxa" w:w="80"/>
              <w:left w:type="dxa" w:w="100"/>
              <w:bottom w:type="dxa" w:w="80"/>
              <w:right w:type="dxa" w:w="100"/>
            </w:tcMar>
            <w:vAlign w:val="center"/>
          </w:tcPr>
          <w:p>
            <w:r>
              <w:t xml:space="preserve">SimuLandCreds (KeyId 59eaeebc-…)</w:t>
            </w:r>
          </w:p>
        </w:tc>
        <w:tc>
          <w:tcPr>
            <w:tcW w:type="dxa" w:w="4600"/>
            <w:shd w:fill="F2F2F2" w:color="auto" w:val="clear"/>
            <w:tcMar>
              <w:top w:type="dxa" w:w="80"/>
              <w:left w:type="dxa" w:w="100"/>
              <w:bottom w:type="dxa" w:w="80"/>
              <w:right w:type="dxa" w:w="100"/>
            </w:tcMar>
            <w:vAlign w:val="center"/>
          </w:tcPr>
          <w:p>
            <w:r>
              <w:t xml:space="preserve">Client secret added to SimuLandApp — backdoor credential</w:t>
            </w:r>
          </w:p>
        </w:tc>
      </w:tr>
      <w:tr>
        <w:tc>
          <w:tcPr>
            <w:tcW w:type="dxa" w:w="1600"/>
            <w:tcMar>
              <w:top w:type="dxa" w:w="80"/>
              <w:left w:type="dxa" w:w="100"/>
              <w:bottom w:type="dxa" w:w="80"/>
              <w:right w:type="dxa" w:w="100"/>
            </w:tcMar>
            <w:vAlign w:val="center"/>
          </w:tcPr>
          <w:p>
            <w:r>
              <w:t xml:space="preserve">Cloud</w:t>
            </w:r>
          </w:p>
        </w:tc>
        <w:tc>
          <w:tcPr>
            <w:tcW w:type="dxa" w:w="3160"/>
            <w:tcMar>
              <w:top w:type="dxa" w:w="80"/>
              <w:left w:type="dxa" w:w="100"/>
              <w:bottom w:type="dxa" w:w="80"/>
              <w:right w:type="dxa" w:w="100"/>
            </w:tcMar>
            <w:vAlign w:val="center"/>
          </w:tcPr>
          <w:p>
            <w:r>
              <w:t xml:space="preserve">ClientAppId 5a95e683-…</w:t>
            </w:r>
          </w:p>
        </w:tc>
        <w:tc>
          <w:tcPr>
            <w:tcW w:type="dxa" w:w="4600"/>
            <w:tcMar>
              <w:top w:type="dxa" w:w="80"/>
              <w:left w:type="dxa" w:w="100"/>
              <w:bottom w:type="dxa" w:w="80"/>
              <w:right w:type="dxa" w:w="100"/>
            </w:tcMar>
            <w:vAlign w:val="center"/>
          </w:tcPr>
          <w:p>
            <w:r>
              <w:t xml:space="preserve">Used for Graph REST mail access (MailItemsAccessed)</w:t>
            </w:r>
          </w:p>
        </w:tc>
      </w:tr>
      <w:tr>
        <w:tc>
          <w:tcPr>
            <w:tcW w:type="dxa" w:w="1600"/>
            <w:shd w:fill="F2F2F2" w:color="auto" w:val="clear"/>
            <w:tcMar>
              <w:top w:type="dxa" w:w="80"/>
              <w:left w:type="dxa" w:w="100"/>
              <w:bottom w:type="dxa" w:w="80"/>
              <w:right w:type="dxa" w:w="100"/>
            </w:tcMar>
            <w:vAlign w:val="center"/>
          </w:tcPr>
          <w:p>
            <w:r>
              <w:t xml:space="preserve">Cloud</w:t>
            </w:r>
          </w:p>
        </w:tc>
        <w:tc>
          <w:tcPr>
            <w:tcW w:type="dxa" w:w="3160"/>
            <w:shd w:fill="F2F2F2" w:color="auto" w:val="clear"/>
            <w:tcMar>
              <w:top w:type="dxa" w:w="80"/>
              <w:left w:type="dxa" w:w="100"/>
              <w:bottom w:type="dxa" w:w="80"/>
              <w:right w:type="dxa" w:w="100"/>
            </w:tcMar>
            <w:vAlign w:val="center"/>
          </w:tcPr>
          <w:p>
            <w:r>
              <w:t xml:space="preserve">User agent: WindowsPowerShell/5.1.17763.1971</w:t>
            </w:r>
          </w:p>
        </w:tc>
        <w:tc>
          <w:tcPr>
            <w:tcW w:type="dxa" w:w="4600"/>
            <w:shd w:fill="F2F2F2" w:color="auto" w:val="clear"/>
            <w:tcMar>
              <w:top w:type="dxa" w:w="80"/>
              <w:left w:type="dxa" w:w="100"/>
              <w:bottom w:type="dxa" w:w="80"/>
              <w:right w:type="dxa" w:w="100"/>
            </w:tcMar>
            <w:vAlign w:val="center"/>
          </w:tcPr>
          <w:p>
            <w:r>
              <w:t xml:space="preserve">Associated with the scripted PowerShell activity</w:t>
            </w:r>
          </w:p>
        </w:tc>
      </w:tr>
      <w:tr>
        <w:tc>
          <w:tcPr>
            <w:tcW w:type="dxa" w:w="1600"/>
            <w:tcMar>
              <w:top w:type="dxa" w:w="80"/>
              <w:left w:type="dxa" w:w="100"/>
              <w:bottom w:type="dxa" w:w="80"/>
              <w:right w:type="dxa" w:w="100"/>
            </w:tcMar>
            <w:vAlign w:val="center"/>
          </w:tcPr>
          <w:p>
            <w:r>
              <w:t xml:space="preserve">Not usable</w:t>
            </w:r>
          </w:p>
        </w:tc>
        <w:tc>
          <w:tcPr>
            <w:tcW w:type="dxa" w:w="3160"/>
            <w:tcMar>
              <w:top w:type="dxa" w:w="80"/>
              <w:left w:type="dxa" w:w="100"/>
              <w:bottom w:type="dxa" w:w="80"/>
              <w:right w:type="dxa" w:w="100"/>
            </w:tcMar>
            <w:vAlign w:val="center"/>
          </w:tcPr>
          <w:p>
            <w:r>
              <w:t xml:space="preserve">IP 1.2.3.4</w:t>
            </w:r>
          </w:p>
        </w:tc>
        <w:tc>
          <w:tcPr>
            <w:tcW w:type="dxa" w:w="4600"/>
            <w:tcMar>
              <w:top w:type="dxa" w:w="80"/>
              <w:left w:type="dxa" w:w="100"/>
              <w:bottom w:type="dxa" w:w="80"/>
              <w:right w:type="dxa" w:w="100"/>
            </w:tcMar>
            <w:vAlign w:val="center"/>
          </w:tcPr>
          <w:p>
            <w:r>
              <w:t xml:space="preserve">Placeholder value, not a real indicator. No IP address appears in both data sources.</w:t>
            </w:r>
          </w:p>
        </w:tc>
      </w:tr>
    </w:tbl>
    <w:p>
      <w:pPr>
        <w:spacing w:before="200"/>
      </w:pPr>
    </w:p>
    <w:p>
      <w:pPr>
        <w:pStyle w:val="Heading2"/>
        <w:spacing w:after="140" w:before="280"/>
      </w:pPr>
      <w:r>
        <w:rPr>
          <w:b/>
          <w:bCs/>
          <w:color w:val="1F3864"/>
        </w:rPr>
        <w:t xml:space="preserve">Appendix B – Raw Timeline</w:t>
      </w:r>
    </w:p>
    <w:p>
      <w:pPr>
        <w:spacing w:after="160"/>
      </w:pPr>
      <w:r>
        <w:t xml:space="preserve">All times UTC, activity dated 2021-08-02.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3864" w:color="auto" w:val="clear"/>
            <w:tcMar>
              <w:top w:type="dxa" w:w="80"/>
              <w:left w:type="dxa" w:w="100"/>
              <w:bottom w:type="dxa" w:w="80"/>
              <w:right w:type="dxa" w:w="100"/>
            </w:tcMar>
            <w:vAlign w:val="center"/>
          </w:tcPr>
          <w:p>
            <w:r>
              <w:rPr>
                <w:b/>
                <w:bCs/>
                <w:color w:val="FFFFFF"/>
              </w:rPr>
              <w:t xml:space="preserve">Time (UTC)</w:t>
            </w:r>
          </w:p>
        </w:tc>
        <w:tc>
          <w:tcPr>
            <w:tcW w:type="dxa" w:w="7460"/>
            <w:shd w:fill="1F3864" w:color="auto" w:val="clear"/>
            <w:tcMar>
              <w:top w:type="dxa" w:w="80"/>
              <w:left w:type="dxa" w:w="100"/>
              <w:bottom w:type="dxa" w:w="80"/>
              <w:right w:type="dxa" w:w="100"/>
            </w:tcMar>
            <w:vAlign w:val="center"/>
          </w:tcPr>
          <w:p>
            <w:r>
              <w:rPr>
                <w:b/>
                <w:bCs/>
                <w:color w:val="FFFFFF"/>
              </w:rPr>
              <w:t xml:space="preserve">Event</w:t>
            </w:r>
          </w:p>
        </w:tc>
      </w:tr>
      <w:tr>
        <w:tc>
          <w:tcPr>
            <w:tcW w:type="dxa" w:w="1900"/>
            <w:tcMar>
              <w:top w:type="dxa" w:w="80"/>
              <w:left w:type="dxa" w:w="100"/>
              <w:bottom w:type="dxa" w:w="80"/>
              <w:right w:type="dxa" w:w="100"/>
            </w:tcMar>
            <w:vAlign w:val="center"/>
          </w:tcPr>
          <w:p>
            <w:r>
              <w:t xml:space="preserve">13:05:32</w:t>
            </w:r>
          </w:p>
        </w:tc>
        <w:tc>
          <w:tcPr>
            <w:tcW w:type="dxa" w:w="7460"/>
            <w:tcMar>
              <w:top w:type="dxa" w:w="80"/>
              <w:left w:type="dxa" w:w="100"/>
              <w:bottom w:type="dxa" w:w="80"/>
              <w:right w:type="dxa" w:w="100"/>
            </w:tcMar>
            <w:vAlign w:val="center"/>
          </w:tcPr>
          <w:p>
            <w:r>
              <w:t xml:space="preserve">PowerShell on ADFS01 connects to the WID database; wardog dumps ServiceSettingsData (Sysmon 18, WID audit 33205)</w:t>
            </w:r>
          </w:p>
        </w:tc>
      </w:tr>
      <w:tr>
        <w:tc>
          <w:tcPr>
            <w:tcW w:type="dxa" w:w="1900"/>
            <w:shd w:fill="F2F2F2" w:color="auto" w:val="clear"/>
            <w:tcMar>
              <w:top w:type="dxa" w:w="80"/>
              <w:left w:type="dxa" w:w="100"/>
              <w:bottom w:type="dxa" w:w="80"/>
              <w:right w:type="dxa" w:w="100"/>
            </w:tcMar>
            <w:vAlign w:val="center"/>
          </w:tcPr>
          <w:p>
            <w:r>
              <w:t xml:space="preserve">13:08:45, 13:13:29</w:t>
            </w:r>
          </w:p>
        </w:tc>
        <w:tc>
          <w:tcPr>
            <w:tcW w:type="dxa" w:w="7460"/>
            <w:shd w:fill="F2F2F2" w:color="auto" w:val="clear"/>
            <w:tcMar>
              <w:top w:type="dxa" w:w="80"/>
              <w:left w:type="dxa" w:w="100"/>
              <w:bottom w:type="dxa" w:w="80"/>
              <w:right w:type="dxa" w:w="100"/>
            </w:tcMar>
            <w:vAlign w:val="center"/>
          </w:tcPr>
          <w:p>
            <w:r>
              <w:t xml:space="preserve">pgustavo NTLMv1 network logons to DC01 from ADFS01 (unexplained)</w:t>
            </w:r>
          </w:p>
        </w:tc>
      </w:tr>
      <w:tr>
        <w:tc>
          <w:tcPr>
            <w:tcW w:type="dxa" w:w="1900"/>
            <w:tcMar>
              <w:top w:type="dxa" w:w="80"/>
              <w:left w:type="dxa" w:w="100"/>
              <w:bottom w:type="dxa" w:w="80"/>
              <w:right w:type="dxa" w:w="100"/>
            </w:tcMar>
            <w:vAlign w:val="center"/>
          </w:tcPr>
          <w:p>
            <w:r>
              <w:t xml:space="preserve">13:11:39–13:13:11</w:t>
            </w:r>
          </w:p>
        </w:tc>
        <w:tc>
          <w:tcPr>
            <w:tcW w:type="dxa" w:w="7460"/>
            <w:tcMar>
              <w:top w:type="dxa" w:w="80"/>
              <w:left w:type="dxa" w:w="100"/>
              <w:bottom w:type="dxa" w:w="80"/>
              <w:right w:type="dxa" w:w="100"/>
            </w:tcMar>
            <w:vAlign w:val="center"/>
          </w:tcPr>
          <w:p>
            <w:r>
              <w:t xml:space="preserve">wardog reads the DKM key (thumbnailPhoto) on DC01 three times (4662)</w:t>
            </w:r>
          </w:p>
        </w:tc>
      </w:tr>
      <w:tr>
        <w:tc>
          <w:tcPr>
            <w:tcW w:type="dxa" w:w="1900"/>
            <w:shd w:fill="F2F2F2" w:color="auto" w:val="clear"/>
            <w:tcMar>
              <w:top w:type="dxa" w:w="80"/>
              <w:left w:type="dxa" w:w="100"/>
              <w:bottom w:type="dxa" w:w="80"/>
              <w:right w:type="dxa" w:w="100"/>
            </w:tcMar>
            <w:vAlign w:val="center"/>
          </w:tcPr>
          <w:p>
            <w:r>
              <w:t xml:space="preserve">13:15–13:25</w:t>
            </w:r>
          </w:p>
        </w:tc>
        <w:tc>
          <w:tcPr>
            <w:tcW w:type="dxa" w:w="7460"/>
            <w:shd w:fill="F2F2F2" w:color="auto" w:val="clear"/>
            <w:tcMar>
              <w:top w:type="dxa" w:w="80"/>
              <w:left w:type="dxa" w:w="100"/>
              <w:bottom w:type="dxa" w:w="80"/>
              <w:right w:type="dxa" w:w="100"/>
            </w:tcMar>
            <w:vAlign w:val="center"/>
          </w:tcPr>
          <w:p>
            <w:r>
              <w:t xml:space="preserve">Blind spot: inferred sign-in to Azure AD as pgustavo (not directly observed in either data source)</w:t>
            </w:r>
          </w:p>
        </w:tc>
      </w:tr>
      <w:tr>
        <w:tc>
          <w:tcPr>
            <w:tcW w:type="dxa" w:w="1900"/>
            <w:tcMar>
              <w:top w:type="dxa" w:w="80"/>
              <w:left w:type="dxa" w:w="100"/>
              <w:bottom w:type="dxa" w:w="80"/>
              <w:right w:type="dxa" w:w="100"/>
            </w:tcMar>
            <w:vAlign w:val="center"/>
          </w:tcPr>
          <w:p>
            <w:r>
              <w:t xml:space="preserve">13:25:12</w:t>
            </w:r>
          </w:p>
        </w:tc>
        <w:tc>
          <w:tcPr>
            <w:tcW w:type="dxa" w:w="7460"/>
            <w:tcMar>
              <w:top w:type="dxa" w:w="80"/>
              <w:left w:type="dxa" w:w="100"/>
              <w:bottom w:type="dxa" w:w="80"/>
              <w:right w:type="dxa" w:w="100"/>
            </w:tcMar>
            <w:vAlign w:val="center"/>
          </w:tcPr>
          <w:p>
            <w:r>
              <w:t xml:space="preserve">SimuLandApp updated to request Graph Mail.ReadWrite</w:t>
            </w:r>
          </w:p>
        </w:tc>
      </w:tr>
      <w:tr>
        <w:tc>
          <w:tcPr>
            <w:tcW w:type="dxa" w:w="1900"/>
            <w:shd w:fill="F2F2F2" w:color="auto" w:val="clear"/>
            <w:tcMar>
              <w:top w:type="dxa" w:w="80"/>
              <w:left w:type="dxa" w:w="100"/>
              <w:bottom w:type="dxa" w:w="80"/>
              <w:right w:type="dxa" w:w="100"/>
            </w:tcMar>
            <w:vAlign w:val="center"/>
          </w:tcPr>
          <w:p>
            <w:r>
              <w:t xml:space="preserve">13:27:20</w:t>
            </w:r>
          </w:p>
        </w:tc>
        <w:tc>
          <w:tcPr>
            <w:tcW w:type="dxa" w:w="7460"/>
            <w:shd w:fill="F2F2F2" w:color="auto" w:val="clear"/>
            <w:tcMar>
              <w:top w:type="dxa" w:w="80"/>
              <w:left w:type="dxa" w:w="100"/>
              <w:bottom w:type="dxa" w:w="80"/>
              <w:right w:type="dxa" w:w="100"/>
            </w:tcMar>
            <w:vAlign w:val="center"/>
          </w:tcPr>
          <w:p>
            <w:r>
              <w:t xml:space="preserve">Delegated grant User.Read Mail.ReadWrite, ConsentType AllPrincipals</w:t>
            </w:r>
          </w:p>
        </w:tc>
      </w:tr>
      <w:tr>
        <w:tc>
          <w:tcPr>
            <w:tcW w:type="dxa" w:w="1900"/>
            <w:tcMar>
              <w:top w:type="dxa" w:w="80"/>
              <w:left w:type="dxa" w:w="100"/>
              <w:bottom w:type="dxa" w:w="80"/>
              <w:right w:type="dxa" w:w="100"/>
            </w:tcMar>
            <w:vAlign w:val="center"/>
          </w:tcPr>
          <w:p>
            <w:r>
              <w:t xml:space="preserve">13:29:25</w:t>
            </w:r>
          </w:p>
        </w:tc>
        <w:tc>
          <w:tcPr>
            <w:tcW w:type="dxa" w:w="7460"/>
            <w:tcMar>
              <w:top w:type="dxa" w:w="80"/>
              <w:left w:type="dxa" w:w="100"/>
              <w:bottom w:type="dxa" w:w="80"/>
              <w:right w:type="dxa" w:w="100"/>
            </w:tcMar>
            <w:vAlign w:val="center"/>
          </w:tcPr>
          <w:p>
            <w:r>
              <w:t xml:space="preserve">Client secret SimuLandCreds added (KeyId 59eaeebc-…)</w:t>
            </w:r>
          </w:p>
        </w:tc>
      </w:tr>
      <w:tr>
        <w:tc>
          <w:tcPr>
            <w:tcW w:type="dxa" w:w="1900"/>
            <w:shd w:fill="F2F2F2" w:color="auto" w:val="clear"/>
            <w:tcMar>
              <w:top w:type="dxa" w:w="80"/>
              <w:left w:type="dxa" w:w="100"/>
              <w:bottom w:type="dxa" w:w="80"/>
              <w:right w:type="dxa" w:w="100"/>
            </w:tcMar>
            <w:vAlign w:val="center"/>
          </w:tcPr>
          <w:p>
            <w:r>
              <w:t xml:space="preserve">13:32:07 (to ~13:41)</w:t>
            </w:r>
          </w:p>
        </w:tc>
        <w:tc>
          <w:tcPr>
            <w:tcW w:type="dxa" w:w="7460"/>
            <w:shd w:fill="F2F2F2" w:color="auto" w:val="clear"/>
            <w:tcMar>
              <w:top w:type="dxa" w:w="80"/>
              <w:left w:type="dxa" w:w="100"/>
              <w:bottom w:type="dxa" w:w="80"/>
              <w:right w:type="dxa" w:w="100"/>
            </w:tcMar>
            <w:vAlign w:val="center"/>
          </w:tcPr>
          <w:p>
            <w:r>
              <w:t xml:space="preserve">MailItemsAccessed: pgustavo's Inbox, 7 messages, Graph REST, ClientAppId 5a95e683-…</w:t>
            </w:r>
          </w:p>
        </w:tc>
      </w:tr>
    </w:tbl>
    <w:p>
      <w:pPr>
        <w:spacing w:before="200"/>
      </w:pPr>
    </w:p>
    <w:p>
      <w:pPr>
        <w:pStyle w:val="Heading2"/>
        <w:spacing w:after="140" w:before="280"/>
      </w:pPr>
      <w:r>
        <w:rPr>
          <w:b/>
          <w:bCs/>
          <w:color w:val="1F3864"/>
        </w:rPr>
        <w:t xml:space="preserve">Appendix C – References</w:t>
      </w:r>
    </w:p>
    <w:p>
      <w:pPr>
        <w:pStyle w:val="ListParagraph"/>
        <w:numPr>
          <w:ilvl w:val="0"/>
          <w:numId w:val="2"/>
        </w:numPr>
        <w:spacing w:after="100"/>
      </w:pPr>
      <w:r>
        <w:t xml:space="preserve">Data source: OTRF/SimuLand lab dataset (Microsoft SimuLand Golden SAML scenario), activity dated 2021-08-02, all times UTC.</w:t>
      </w:r>
    </w:p>
    <w:p>
      <w:pPr>
        <w:pStyle w:val="ListParagraph"/>
        <w:numPr>
          <w:ilvl w:val="0"/>
          <w:numId w:val="2"/>
        </w:numPr>
        <w:spacing w:after="100"/>
      </w:pPr>
      <w:r>
        <w:t xml:space="preserve">Source files: correlation.md, checkpoint-phase1.md.</w:t>
      </w:r>
    </w:p>
    <w:p>
      <w:pPr>
        <w:pStyle w:val="ListParagraph"/>
        <w:numPr>
          <w:ilvl w:val="0"/>
          <w:numId w:val="2"/>
        </w:numPr>
        <w:spacing w:after="100"/>
      </w:pPr>
      <w:r>
        <w:t xml:space="preserve">MITRE ATT&amp;CK techniques referenced: T1552.004 (Unsecured Credentials: Private Keys), T1555 (Credentials from Password Stores), T1606.002 (Forge Web Credentials: SAML Tokens), T1098.003 (Account Manipulation: Additional Cloud Roles), T1098.001 (Account Manipulation: Additional Cloud Credentials), T1114.002 (Email Collection: Remote Email Collection), T1550.001 (Use Alternate Authentication Material: Application Access Token).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C2B2B" w:sz="4" w:space="4"/>
      </w:pBdr>
      <w:jc w:val="right"/>
    </w:pPr>
    <w:r>
      <w:rPr>
        <w:b/>
        <w:bCs/>
        <w:color w:val="9C2B2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2026-10-02T06:20:24.500Z</dcterms:created>
  <dcterms:modified xsi:type="dcterms:W3CDTF">2026-10-02T06:20:24.516Z</dcterms:modified>
</cp:coreProperties>
</file>

<file path=docProps/custom.xml><?xml version="1.0" encoding="utf-8"?>
<Properties xmlns="http://schemas.openxmlformats.org/officeDocument/2006/custom-properties" xmlns:vt="http://schemas.openxmlformats.org/officeDocument/2006/docPropsVTypes"/>
</file>