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71A24"/>
          <w:sz w:val="48"/>
        </w:rPr>
        <w:t>MedCite Sentinel Workflow</w:t>
      </w:r>
    </w:p>
    <w:p>
      <w:pPr>
        <w:spacing w:after="240"/>
      </w:pPr>
      <w:r>
        <w:rPr>
          <w:rFonts w:ascii="Calibri" w:hAnsi="Calibri"/>
          <w:b w:val="0"/>
          <w:color w:val="4D6472"/>
          <w:sz w:val="21"/>
        </w:rPr>
        <w:t>Retrieval-first medical evidence assistant using PubMed, Nature, AHA Journals, BMJ, and The Lancet.</w:t>
      </w:r>
    </w:p>
    <w:p>
      <w:pPr>
        <w:pStyle w:val="Heading1"/>
      </w:pPr>
      <w:r>
        <w:t>Flowchart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1. Doctor Question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Clinical, research, drug-safety, or situation-based prompt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2. Query Understanding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Detects intent, entities, keywords, and vague prompts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3. Clarification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Asks for more detail if the question is too vague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4. AI Query Rewriter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Optional rewrite into PubMed-ready search terms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5. Clinical Query Rewriter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Builds multiple retrieval query variants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6. Trusted Source Search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Checks PubMed, Nature, AHA Journals, BMJ, and The Lancet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7. Ingestion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Fetches metadata, DOI links, abstracts, PMID, journal, and year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8. Trusted Source Filter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Rejects weak or unsupported evidence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9. Relevance Ranking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Scores evidence by overlap, source, recency, and clinical relevance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10. Hallucination Guard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Blocks answers when evidence is insufficient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11. Grounded Answer Generator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Creates an answer under 100 words from retrieved evidence only</w:t>
            </w:r>
          </w:p>
        </w:tc>
      </w:tr>
      <w:tr>
        <w:trPr>
          <w:trHeight w:val="317"/>
        </w:trPr>
        <w:tc>
          <w:tcPr>
            <w:tcW w:type="dxa" w:w="10080"/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F766E"/>
                <w:sz w:val="28"/>
              </w:rPr>
              <w:t>↓</w:t>
            </w:r>
          </w:p>
        </w:tc>
      </w:tr>
      <w:tr>
        <w:trPr>
          <w:trHeight w:val="792"/>
        </w:trPr>
        <w:tc>
          <w:tcPr>
            <w:tcW w:type="dxa" w:w="10080"/>
            <w:vAlign w:val="center"/>
            <w:shd w:fill="F4FAF9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73B3A"/>
                <w:sz w:val="21"/>
              </w:rPr>
              <w:t>12. Citation Agent</w:t>
            </w:r>
            <w:r>
              <w:rPr>
                <w:rFonts w:ascii="Calibri" w:hAnsi="Calibri"/>
                <w:b w:val="0"/>
                <w:color w:val="344B5A"/>
                <w:sz w:val="19"/>
              </w:rPr>
              <w:t xml:space="preserve"> - Returns visible sources used with links and evidence snippets</w:t>
            </w:r>
          </w:p>
        </w:tc>
      </w:tr>
    </w:tbl>
    <w:p>
      <w:r>
        <w:br w:type="page"/>
      </w:r>
    </w:p>
    <w:p>
      <w:pPr>
        <w:pStyle w:val="Heading1"/>
      </w:pPr>
      <w:r>
        <w:t>Decision Logic</w:t>
      </w:r>
    </w:p>
    <w:p>
      <w:r>
        <w:rPr>
          <w:rFonts w:ascii="Calibri" w:hAnsi="Calibri"/>
          <w:b w:val="0"/>
          <w:color w:val="10202A"/>
          <w:sz w:val="21"/>
        </w:rPr>
        <w:t>The prototype does not answer from model memory. It first retrieves evidence from trusted sources, ranks the evidence, and only then generates a citation-backed answer.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E7F4F2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073B3A"/>
                <w:sz w:val="19"/>
              </w:rPr>
              <w:t>Stage</w:t>
            </w:r>
          </w:p>
        </w:tc>
        <w:tc>
          <w:tcPr>
            <w:tcW w:type="dxa" w:w="4680"/>
            <w:shd w:fill="E7F4F2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073B3A"/>
                <w:sz w:val="19"/>
              </w:rPr>
              <w:t>Purpose</w:t>
            </w:r>
          </w:p>
        </w:tc>
        <w:tc>
          <w:tcPr>
            <w:tcW w:type="dxa" w:w="3096"/>
            <w:shd w:fill="E7F4F2"/>
            <w:tcBorders>
              <w:top w:val="single" w:sz="8" w:space="0" w:color="BFD8D4"/>
              <w:left w:val="single" w:sz="8" w:space="0" w:color="BFD8D4"/>
              <w:bottom w:val="single" w:sz="8" w:space="0" w:color="BFD8D4"/>
              <w:right w:val="single" w:sz="8" w:space="0" w:color="BFD8D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073B3A"/>
                <w:sz w:val="19"/>
              </w:rPr>
              <w:t>Output</w:t>
            </w:r>
          </w:p>
        </w:tc>
      </w:tr>
      <w:tr>
        <w:tc>
          <w:tcPr>
            <w:tcW w:type="dxa" w:w="2304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02A"/>
                <w:sz w:val="18"/>
              </w:rPr>
              <w:t>Understand</w:t>
            </w:r>
          </w:p>
        </w:tc>
        <w:tc>
          <w:tcPr>
            <w:tcW w:type="dxa" w:w="4680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Classifies the user question and detects vague prompts.</w:t>
            </w:r>
          </w:p>
        </w:tc>
        <w:tc>
          <w:tcPr>
            <w:tcW w:type="dxa" w:w="3096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Intent + keywords</w:t>
            </w:r>
          </w:p>
        </w:tc>
      </w:tr>
      <w:tr>
        <w:tc>
          <w:tcPr>
            <w:tcW w:type="dxa" w:w="2304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02A"/>
                <w:sz w:val="18"/>
              </w:rPr>
              <w:t>Retrieve</w:t>
            </w:r>
          </w:p>
        </w:tc>
        <w:tc>
          <w:tcPr>
            <w:tcW w:type="dxa" w:w="4680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Searches approved sources step by step using multiple query variants.</w:t>
            </w:r>
          </w:p>
        </w:tc>
        <w:tc>
          <w:tcPr>
            <w:tcW w:type="dxa" w:w="3096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Trusted papers</w:t>
            </w:r>
          </w:p>
        </w:tc>
      </w:tr>
      <w:tr>
        <w:tc>
          <w:tcPr>
            <w:tcW w:type="dxa" w:w="2304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02A"/>
                <w:sz w:val="18"/>
              </w:rPr>
              <w:t>Validate</w:t>
            </w:r>
          </w:p>
        </w:tc>
        <w:tc>
          <w:tcPr>
            <w:tcW w:type="dxa" w:w="4680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Filters and ranks sources for direct clinical relevance.</w:t>
            </w:r>
          </w:p>
        </w:tc>
        <w:tc>
          <w:tcPr>
            <w:tcW w:type="dxa" w:w="3096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Evidence score</w:t>
            </w:r>
          </w:p>
        </w:tc>
      </w:tr>
      <w:tr>
        <w:tc>
          <w:tcPr>
            <w:tcW w:type="dxa" w:w="2304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02A"/>
                <w:sz w:val="18"/>
              </w:rPr>
              <w:t>Guard</w:t>
            </w:r>
          </w:p>
        </w:tc>
        <w:tc>
          <w:tcPr>
            <w:tcW w:type="dxa" w:w="4680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Prevents unsupported answers when evidence is weak.</w:t>
            </w:r>
          </w:p>
        </w:tc>
        <w:tc>
          <w:tcPr>
            <w:tcW w:type="dxa" w:w="3096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Answer or refusal</w:t>
            </w:r>
          </w:p>
        </w:tc>
      </w:tr>
      <w:tr>
        <w:tc>
          <w:tcPr>
            <w:tcW w:type="dxa" w:w="2304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202A"/>
                <w:sz w:val="18"/>
              </w:rPr>
              <w:t>Cite</w:t>
            </w:r>
          </w:p>
        </w:tc>
        <w:tc>
          <w:tcPr>
            <w:tcW w:type="dxa" w:w="4680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Shows exactly which papers supported the final response.</w:t>
            </w:r>
          </w:p>
        </w:tc>
        <w:tc>
          <w:tcPr>
            <w:tcW w:type="dxa" w:w="3096"/>
            <w:tcBorders>
              <w:top w:val="single" w:sz="8" w:space="0" w:color="D9E2EA"/>
              <w:left w:val="single" w:sz="8" w:space="0" w:color="D9E2EA"/>
              <w:bottom w:val="single" w:sz="8" w:space="0" w:color="D9E2EA"/>
              <w:right w:val="single" w:sz="8" w:space="0" w:color="D9E2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0202A"/>
                <w:sz w:val="18"/>
              </w:rPr>
              <w:t>Sources used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985"/>
        <w:sz w:val="17"/>
      </w:rPr>
      <w:t>MedCite Sentinel - Prototype Architecture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4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4A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