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80E" w:rsidRDefault="00120075">
      <w:pPr>
        <w:spacing w:after="80"/>
        <w:jc w:val="center"/>
      </w:pPr>
      <w:proofErr w:type="spellStart"/>
      <w:r>
        <w:rPr>
          <w:rFonts w:ascii="Calibri" w:eastAsia="Calibri" w:hAnsi="Calibri" w:cs="Calibri"/>
          <w:b/>
          <w:bCs/>
          <w:sz w:val="36"/>
          <w:szCs w:val="36"/>
        </w:rPr>
        <w:t>HealthTrack</w:t>
      </w:r>
      <w:proofErr w:type="spellEnd"/>
      <w:r>
        <w:rPr>
          <w:rFonts w:ascii="Calibri" w:eastAsia="Calibri" w:hAnsi="Calibri" w:cs="Calibri"/>
          <w:b/>
          <w:bCs/>
          <w:sz w:val="36"/>
          <w:szCs w:val="36"/>
        </w:rPr>
        <w:t xml:space="preserve"> Regional Hospital</w:t>
      </w:r>
    </w:p>
    <w:p w:rsidR="0078280E" w:rsidRDefault="00120075">
      <w:pPr>
        <w:spacing w:after="80"/>
        <w:jc w:val="center"/>
      </w:pPr>
      <w:r>
        <w:rPr>
          <w:rFonts w:ascii="Calibri" w:eastAsia="Calibri" w:hAnsi="Calibri" w:cs="Calibri"/>
          <w:sz w:val="26"/>
          <w:szCs w:val="26"/>
        </w:rPr>
        <w:t>Daily Readmission Risk System — CMO Handoff Document</w:t>
      </w:r>
    </w:p>
    <w:p w:rsidR="0078280E" w:rsidRDefault="00120075">
      <w:pPr>
        <w:spacing w:after="8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Prepared for: Chief Medical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Officer  |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 xml:space="preserve">  Date: June 14, 2026</w:t>
      </w:r>
    </w:p>
    <w:p w:rsidR="0078280E" w:rsidRDefault="0078280E"/>
    <w:p w:rsidR="0078280E" w:rsidRDefault="0078280E"/>
    <w:p w:rsidR="0078280E" w:rsidRDefault="00120075">
      <w:pPr>
        <w:spacing w:before="32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1. What We Found in the Data</w:t>
      </w:r>
    </w:p>
    <w:p w:rsidR="0078280E" w:rsidRDefault="00120075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An automated audit of the raw dataset (300 patient records) identified three data quality issues that required resolution before patient risk scoring could begin:</w:t>
      </w:r>
    </w:p>
    <w:p w:rsidR="0078280E" w:rsidRDefault="0078280E"/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30 patient records (10%) were missing their 30-day readmission outcome. Because this is th</w:t>
      </w:r>
      <w:r>
        <w:rPr>
          <w:rFonts w:ascii="Calibri" w:eastAsia="Calibri" w:hAnsi="Calibri" w:cs="Calibri"/>
          <w:sz w:val="22"/>
          <w:szCs w:val="22"/>
        </w:rPr>
        <w:t>e value the AI model learns to predict, these records could not be used for training or scoring. This is the most critical issue — it means 1 in 10 discharges this year provided no learning signal to the prediction system.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 xml:space="preserve">• 25 patient records (8.3%) were </w:t>
      </w:r>
      <w:r>
        <w:rPr>
          <w:rFonts w:ascii="Calibri" w:eastAsia="Calibri" w:hAnsi="Calibri" w:cs="Calibri"/>
          <w:sz w:val="22"/>
          <w:szCs w:val="22"/>
        </w:rPr>
        <w:t>missing a Patient ID, making it impossible to link AI-generated alerts back to a specific individual for care follow-up. These records were excluded from the final output.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15 billing records contained the value –9999, which is a placeholder inserted by t</w:t>
      </w:r>
      <w:r>
        <w:rPr>
          <w:rFonts w:ascii="Calibri" w:eastAsia="Calibri" w:hAnsi="Calibri" w:cs="Calibri"/>
          <w:sz w:val="22"/>
          <w:szCs w:val="22"/>
        </w:rPr>
        <w:t>he EHR system when a billing amount was not recorded. These were treated as invalid and excluded from analysis.</w:t>
      </w:r>
    </w:p>
    <w:p w:rsidR="0078280E" w:rsidRDefault="0078280E"/>
    <w:p w:rsidR="0078280E" w:rsidRDefault="00120075">
      <w:pPr>
        <w:spacing w:before="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After removing these 70 records, 230 clean patient records remained and were used for all modelling and alert generation.</w:t>
      </w:r>
    </w:p>
    <w:p w:rsidR="0078280E" w:rsidRDefault="0078280E"/>
    <w:p w:rsidR="0078280E" w:rsidRDefault="0078280E"/>
    <w:p w:rsidR="0078280E" w:rsidRDefault="00120075">
      <w:pPr>
        <w:spacing w:before="32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2. How the Risk Mod</w:t>
      </w:r>
      <w:r>
        <w:rPr>
          <w:rFonts w:ascii="Calibri" w:eastAsia="Calibri" w:hAnsi="Calibri" w:cs="Calibri"/>
          <w:b/>
          <w:bCs/>
          <w:sz w:val="28"/>
          <w:szCs w:val="28"/>
        </w:rPr>
        <w:t>el Works</w:t>
      </w:r>
    </w:p>
    <w:p w:rsidR="0078280E" w:rsidRDefault="00120075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system uses a machine learning model trained on historical discharge data. It analyses four key factors for each patient:</w:t>
      </w:r>
    </w:p>
    <w:p w:rsidR="0078280E" w:rsidRDefault="0078280E"/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Age at time of discharge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Length of hospital stay (in days)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Number of hospital admissions in the past 12 months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N</w:t>
      </w:r>
      <w:r>
        <w:rPr>
          <w:rFonts w:ascii="Calibri" w:eastAsia="Calibri" w:hAnsi="Calibri" w:cs="Calibri"/>
          <w:sz w:val="22"/>
          <w:szCs w:val="22"/>
        </w:rPr>
        <w:t>umber of medications prescribed at discharge</w:t>
      </w:r>
    </w:p>
    <w:p w:rsidR="0078280E" w:rsidRDefault="0078280E"/>
    <w:p w:rsidR="0078280E" w:rsidRDefault="00120075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Based on these inputs, each patient receives a readmission probability score and is placed into one of three risk tiers:</w:t>
      </w:r>
    </w:p>
    <w:p w:rsidR="0078280E" w:rsidRDefault="0078280E"/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High Risk (probability ≥ 65%) — 87 patients (37.8%) — Immediate intervention required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Medium Risk (probability 40–64%) — 5 patients (2.2%) — Monitor closely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Low Risk (probability &lt; 40%) — 138 patients (60%) — Routine discharge</w:t>
      </w:r>
    </w:p>
    <w:p w:rsidR="0078280E" w:rsidRDefault="0078280E"/>
    <w:p w:rsidR="0078280E" w:rsidRDefault="00120075">
      <w:pPr>
        <w:spacing w:before="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Model Performance: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Accuracy: 78.3%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lastRenderedPageBreak/>
        <w:t>• Precision: 64.3%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Recall: 64.3% — most important metric; a missed high</w:t>
      </w:r>
      <w:r>
        <w:rPr>
          <w:rFonts w:ascii="Calibri" w:eastAsia="Calibri" w:hAnsi="Calibri" w:cs="Calibri"/>
          <w:sz w:val="22"/>
          <w:szCs w:val="22"/>
        </w:rPr>
        <w:t>-risk patient can result in a preventable readmission and a penalty exceeding $15,200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ROC-AUC: 0.754 — the model reliably distinguishes high-risk from low-risk patients</w:t>
      </w:r>
    </w:p>
    <w:p w:rsidR="0078280E" w:rsidRDefault="0078280E"/>
    <w:p w:rsidR="0078280E" w:rsidRDefault="00120075">
      <w:pPr>
        <w:spacing w:before="80" w:after="80"/>
      </w:pPr>
      <w:r>
        <w:rPr>
          <w:rFonts w:ascii="Calibri" w:eastAsia="Calibri" w:hAnsi="Calibri" w:cs="Calibri"/>
          <w:i/>
          <w:iCs/>
          <w:sz w:val="22"/>
          <w:szCs w:val="22"/>
        </w:rPr>
        <w:t>Note: The model is a proof-of-concept built on 230 records. Recall is expected to im</w:t>
      </w:r>
      <w:r>
        <w:rPr>
          <w:rFonts w:ascii="Calibri" w:eastAsia="Calibri" w:hAnsi="Calibri" w:cs="Calibri"/>
          <w:i/>
          <w:iCs/>
          <w:sz w:val="22"/>
          <w:szCs w:val="22"/>
        </w:rPr>
        <w:t>prove significantly when retrained on full EHR data.</w:t>
      </w:r>
    </w:p>
    <w:p w:rsidR="0078280E" w:rsidRDefault="0078280E">
      <w:bookmarkStart w:id="0" w:name="_GoBack"/>
      <w:bookmarkEnd w:id="0"/>
    </w:p>
    <w:p w:rsidR="0078280E" w:rsidRDefault="00120075">
      <w:pPr>
        <w:spacing w:before="32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>3. What Happens Every Morning</w:t>
      </w:r>
    </w:p>
    <w:p w:rsidR="0078280E" w:rsidRDefault="00120075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The following five steps occur automatically each day at 7:30 AM — no manual action is required:</w:t>
      </w:r>
    </w:p>
    <w:p w:rsidR="0078280E" w:rsidRDefault="0078280E"/>
    <w:p w:rsidR="0078280E" w:rsidRDefault="00120075">
      <w:pPr>
        <w:spacing w:before="80" w:after="80"/>
        <w:ind w:left="480" w:hanging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>The system connects to the hospital's patient discharge dataset and re</w:t>
      </w:r>
      <w:r>
        <w:rPr>
          <w:rFonts w:ascii="Calibri" w:eastAsia="Calibri" w:hAnsi="Calibri" w:cs="Calibri"/>
          <w:sz w:val="22"/>
          <w:szCs w:val="22"/>
        </w:rPr>
        <w:t>trieves the latest records.</w:t>
      </w:r>
    </w:p>
    <w:p w:rsidR="0078280E" w:rsidRDefault="00120075">
      <w:pPr>
        <w:spacing w:before="80" w:after="80"/>
        <w:ind w:left="480" w:hanging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>It runs an automated data quality check. If records are missing or contain invalid values, the data operations team is alerted via the #data-ops Slack channel and processing stops.</w:t>
      </w:r>
    </w:p>
    <w:p w:rsidR="0078280E" w:rsidRDefault="00120075">
      <w:pPr>
        <w:spacing w:before="80" w:after="80"/>
        <w:ind w:left="480" w:hanging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>If data is clean, the AI model scores eve</w:t>
      </w:r>
      <w:r>
        <w:rPr>
          <w:rFonts w:ascii="Calibri" w:eastAsia="Calibri" w:hAnsi="Calibri" w:cs="Calibri"/>
          <w:sz w:val="22"/>
          <w:szCs w:val="22"/>
        </w:rPr>
        <w:t>ry patient and assigns a risk tier of High, Medium, or Low.</w:t>
      </w:r>
    </w:p>
    <w:p w:rsidR="0078280E" w:rsidRDefault="00120075">
      <w:pPr>
        <w:spacing w:before="80" w:after="80"/>
        <w:ind w:left="480" w:hanging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>For every High-risk patient, a personalised clinical alert note is generated describing the top two risk factors and a recommended action for the care team.</w:t>
      </w:r>
    </w:p>
    <w:p w:rsidR="0078280E" w:rsidRDefault="00120075">
      <w:pPr>
        <w:spacing w:before="80" w:after="80"/>
        <w:ind w:left="480" w:hanging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r>
        <w:rPr>
          <w:rFonts w:ascii="Calibri" w:eastAsia="Calibri" w:hAnsi="Calibri" w:cs="Calibri"/>
          <w:sz w:val="22"/>
          <w:szCs w:val="22"/>
        </w:rPr>
        <w:t>A full summary — including total flagged patients and the complete URGENT list — is posted to the #care-coordination Slack channel for ward staff to review before morning rounds.</w:t>
      </w:r>
    </w:p>
    <w:p w:rsidR="0078280E" w:rsidRDefault="0078280E"/>
    <w:p w:rsidR="0078280E" w:rsidRDefault="00120075">
      <w:pPr>
        <w:spacing w:before="320" w:after="12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4. What the CMO Should Do </w:t>
      </w: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With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 a High-Risk Flag</w:t>
      </w:r>
    </w:p>
    <w:p w:rsidR="0078280E" w:rsidRDefault="00120075">
      <w:pPr>
        <w:spacing w:before="80" w:after="80"/>
      </w:pPr>
      <w:r>
        <w:rPr>
          <w:rFonts w:ascii="Calibri" w:eastAsia="Calibri" w:hAnsi="Calibri" w:cs="Calibri"/>
          <w:sz w:val="22"/>
          <w:szCs w:val="22"/>
        </w:rPr>
        <w:t>When a patient is flagged as High risk, the following protocol should be followed:</w:t>
      </w:r>
    </w:p>
    <w:p w:rsidR="0078280E" w:rsidRDefault="0078280E"/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The ward nurse or care coordinator must check the #care-coordination Slack channel by 9:00 AM each morning.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URGENT patients — those with two or more prior admissions in</w:t>
      </w:r>
      <w:r>
        <w:rPr>
          <w:rFonts w:ascii="Calibri" w:eastAsia="Calibri" w:hAnsi="Calibri" w:cs="Calibri"/>
          <w:sz w:val="22"/>
          <w:szCs w:val="22"/>
        </w:rPr>
        <w:t xml:space="preserve"> the past 12 months — must be reviewed first. Each alert includes the top risk factors and a recommended next step.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The assigned clinician should contact the patient or their family within 2 hours to arrange a follow-up appointment, medication review, or</w:t>
      </w:r>
      <w:r>
        <w:rPr>
          <w:rFonts w:ascii="Calibri" w:eastAsia="Calibri" w:hAnsi="Calibri" w:cs="Calibri"/>
          <w:sz w:val="22"/>
          <w:szCs w:val="22"/>
        </w:rPr>
        <w:t xml:space="preserve"> home care referral as appropriate.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All actions taken in response to a High-risk flag must be documented in the patient record before end of shift.</w:t>
      </w:r>
    </w:p>
    <w:p w:rsidR="0078280E" w:rsidRDefault="00120075">
      <w:pPr>
        <w:spacing w:before="60" w:after="60"/>
        <w:ind w:left="480" w:hanging="240"/>
      </w:pPr>
      <w:r>
        <w:rPr>
          <w:rFonts w:ascii="Calibri" w:eastAsia="Calibri" w:hAnsi="Calibri" w:cs="Calibri"/>
          <w:sz w:val="22"/>
          <w:szCs w:val="22"/>
        </w:rPr>
        <w:t>• If a High-risk patient declines follow-up, this should be noted and escalated to the attending physician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78280E" w:rsidRDefault="0078280E"/>
    <w:p w:rsidR="0078280E" w:rsidRDefault="00120075">
      <w:pPr>
        <w:spacing w:before="80" w:after="80"/>
      </w:pPr>
      <w:r>
        <w:rPr>
          <w:rFonts w:ascii="Calibri" w:eastAsia="Calibri" w:hAnsi="Calibri" w:cs="Calibri"/>
          <w:i/>
          <w:iCs/>
          <w:sz w:val="22"/>
          <w:szCs w:val="22"/>
        </w:rPr>
        <w:t>The CMO should review the weekly summary every Monday morning to confirm that all URGENT flags from the prior week received a documented clinical response. Any gaps should be escalated to the relevant department head.</w:t>
      </w:r>
    </w:p>
    <w:p w:rsidR="0078280E" w:rsidRDefault="0078280E"/>
    <w:p w:rsidR="0078280E" w:rsidRDefault="0078280E"/>
    <w:p w:rsidR="0078280E" w:rsidRDefault="00120075">
      <w:pPr>
        <w:pBdr>
          <w:top w:val="single" w:sz="4" w:space="8" w:color="CCCCCC"/>
        </w:pBdr>
        <w:spacing w:before="240" w:after="6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Document prepared by the Field Da</w:t>
      </w: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ta Engineering </w:t>
      </w:r>
      <w:proofErr w:type="gram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Team  |</w:t>
      </w:r>
      <w:proofErr w:type="gram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HealthTrack</w:t>
      </w:r>
      <w:proofErr w:type="spell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Regional Hospital</w:t>
      </w:r>
    </w:p>
    <w:sectPr w:rsidR="007828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992A38"/>
    <w:multiLevelType w:val="hybridMultilevel"/>
    <w:tmpl w:val="D72E990E"/>
    <w:lvl w:ilvl="0" w:tplc="51CEB7E6">
      <w:start w:val="1"/>
      <w:numFmt w:val="bullet"/>
      <w:lvlText w:val="●"/>
      <w:lvlJc w:val="left"/>
      <w:pPr>
        <w:ind w:left="720" w:hanging="360"/>
      </w:pPr>
    </w:lvl>
    <w:lvl w:ilvl="1" w:tplc="72327540">
      <w:start w:val="1"/>
      <w:numFmt w:val="bullet"/>
      <w:lvlText w:val="○"/>
      <w:lvlJc w:val="left"/>
      <w:pPr>
        <w:ind w:left="1440" w:hanging="360"/>
      </w:pPr>
    </w:lvl>
    <w:lvl w:ilvl="2" w:tplc="7D50D1D4">
      <w:start w:val="1"/>
      <w:numFmt w:val="bullet"/>
      <w:lvlText w:val="■"/>
      <w:lvlJc w:val="left"/>
      <w:pPr>
        <w:ind w:left="2160" w:hanging="360"/>
      </w:pPr>
    </w:lvl>
    <w:lvl w:ilvl="3" w:tplc="30D47D8E">
      <w:start w:val="1"/>
      <w:numFmt w:val="bullet"/>
      <w:lvlText w:val="●"/>
      <w:lvlJc w:val="left"/>
      <w:pPr>
        <w:ind w:left="2880" w:hanging="360"/>
      </w:pPr>
    </w:lvl>
    <w:lvl w:ilvl="4" w:tplc="15768C9E">
      <w:start w:val="1"/>
      <w:numFmt w:val="bullet"/>
      <w:lvlText w:val="○"/>
      <w:lvlJc w:val="left"/>
      <w:pPr>
        <w:ind w:left="3600" w:hanging="360"/>
      </w:pPr>
    </w:lvl>
    <w:lvl w:ilvl="5" w:tplc="06CAE7C8">
      <w:start w:val="1"/>
      <w:numFmt w:val="bullet"/>
      <w:lvlText w:val="■"/>
      <w:lvlJc w:val="left"/>
      <w:pPr>
        <w:ind w:left="4320" w:hanging="360"/>
      </w:pPr>
    </w:lvl>
    <w:lvl w:ilvl="6" w:tplc="79F88DB8">
      <w:start w:val="1"/>
      <w:numFmt w:val="bullet"/>
      <w:lvlText w:val="●"/>
      <w:lvlJc w:val="left"/>
      <w:pPr>
        <w:ind w:left="5040" w:hanging="360"/>
      </w:pPr>
    </w:lvl>
    <w:lvl w:ilvl="7" w:tplc="5EB6EB16">
      <w:start w:val="1"/>
      <w:numFmt w:val="bullet"/>
      <w:lvlText w:val="●"/>
      <w:lvlJc w:val="left"/>
      <w:pPr>
        <w:ind w:left="5760" w:hanging="360"/>
      </w:pPr>
    </w:lvl>
    <w:lvl w:ilvl="8" w:tplc="37CC14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0E"/>
    <w:rsid w:val="00120075"/>
    <w:rsid w:val="0078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A133"/>
  <w15:docId w15:val="{B7DB3FA4-54FD-418D-A94F-514A310E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</cp:lastModifiedBy>
  <cp:revision>2</cp:revision>
  <dcterms:created xsi:type="dcterms:W3CDTF">2026-06-14T16:44:00Z</dcterms:created>
  <dcterms:modified xsi:type="dcterms:W3CDTF">2026-06-14T17:17:00Z</dcterms:modified>
</cp:coreProperties>
</file>