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Default Extension="bmp" ContentType="image/bmp"/>
  <Default Extension="gif" ContentType="image/gif"/>
  <Default Extension="jpeg" ContentType="image/jpeg"/>
  <Default Extension="jpg" ContentType="image/jpeg"/>
  <Default Extension="png" ContentType="image/png"/>
  <Default Extension="svg" ContentType="image/svg+xml"/>
  <Default Extension="tiff" ContentType="image/tiff"/>
  <Default Extension="bin" ContentType="application/vnd.openxmlformats-officedocument.oleObject"/>
  <Default Extension="wmf" ContentType="image/x-wmf"/>
  <Default Extension="emf" ContentType="image/x-emf"/>
  <Override PartName="/docProps/custom.xml" ContentType="application/vnd.openxmlformats-officedocument.custom-properties+xml"/>
  <Override PartName="/docProps/app.xml" ContentType="application/vnd.openxmlformats-officedocument.extended-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docProps/core.xml" ContentType="application/vnd.openxmlformats-package.core-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a="http://schemas.openxmlformats.org/drawingml/2006/main" xmlns:aink="http://schemas.microsoft.com/office/drawing/2016/ink" xmlns:am3d="http://schemas.microsoft.com/office/drawing/2017/model3d" xmlns:c="http://schemas.openxmlformats.org/drawingml/2006/char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dgm="http://schemas.openxmlformats.org/drawingml/2006/diagram" xmlns:lc="http://schemas.openxmlformats.org/drawingml/2006/lockedCanvas" xmlns:m="http://schemas.openxmlformats.org/officeDocument/2006/math" xmlns:mc="http://schemas.openxmlformats.org/markup-compatibility/2006" xmlns:mo="http://schemas.microsoft.com/office/mac/office/2008/main" xmlns:mv="urn:schemas-microsoft-com:mac:vml" xmlns:o="urn:schemas-microsoft-com:office:office" xmlns:pic="http://schemas.openxmlformats.org/drawingml/2006/pictur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body>
    <w:p>
      <w:pPr>
        <w:spacing w:before="0" w:after="0"/>
      </w:pPr>
      <w:r/>
    </w:p>
    <w:p>
      <w:pPr>
        <w:spacing w:before="0" w:after="0"/>
      </w:pPr>
      <w:r/>
    </w:p>
    <w:p>
      <w:pPr>
        <w:spacing w:before="0" w:after="0"/>
      </w:pPr>
      <w:r/>
    </w:p>
    <w:p>
      <w:pPr>
        <w:spacing w:before="0" w:after="0"/>
      </w:pPr>
      <w:r/>
    </w:p>
    <w:p>
      <w:pPr>
        <w:jc w:val="center"/>
        <w:spacing w:before="0" w:after="200"/>
      </w:pPr>
      <w:r>
        <w:rPr>
          <w:bCs/>
          <w:b/>
          <w:color w:val="1F497D"/>
          <w:rFonts w:ascii="Arial" w:cs="Arial" w:eastAsia="Arial" w:hAnsi="Arial"/>
          <w:sz w:val="48"/>
          <w:szCs w:val="48"/>
        </w:rPr>
        <w:t>CAPSTONE PROJECT REPORT</w:t>
      </w:r>
    </w:p>
    <w:p>
      <w:pPr>
        <w:pBdr>
          <w:bottom w:val="single" w:sz="6" w:color="2E75B6" w:space="1"/>
        </w:pBdr>
        <w:jc w:val="center"/>
        <w:spacing w:before="0" w:after="120"/>
      </w:pPr>
      <w:r>
        <w:rPr>
          <w:bCs/>
          <w:b/>
          <w:color w:val="2E75B6"/>
          <w:rFonts w:ascii="Arial" w:cs="Arial" w:eastAsia="Arial" w:hAnsi="Arial"/>
          <w:sz w:val="36"/>
          <w:szCs w:val="36"/>
        </w:rPr>
        <w:t>Diabetes Prediction Using Machine Learning</w:t>
      </w:r>
    </w:p>
    <w:p>
      <w:pPr>
        <w:spacing w:before="0" w:after="0"/>
      </w:pPr>
      <w:r/>
    </w:p>
    <w:p>
      <w:pPr>
        <w:spacing w:before="0" w:after="0"/>
      </w:pPr>
      <w:r/>
    </w:p>
    <w:p>
      <w:pPr>
        <w:jc w:val="center"/>
        <w:spacing w:before="80" w:after="80"/>
      </w:pPr>
      <w:r>
        <w:rPr>
          <w:iCs/>
          <w:i/>
          <w:color w:val="444444"/>
          <w:rFonts w:ascii="Arial" w:cs="Arial" w:eastAsia="Arial" w:hAnsi="Arial"/>
          <w:sz w:val="24"/>
          <w:szCs w:val="24"/>
        </w:rPr>
        <w:t>Dataset: PIMA Indians Diabetes Database (Kaggle)</w:t>
      </w:r>
    </w:p>
    <w:p>
      <w:pPr>
        <w:jc w:val="center"/>
        <w:spacing w:before="80" w:after="80"/>
      </w:pPr>
      <w:r>
        <w:rPr>
          <w:color w:val="555555"/>
          <w:rFonts w:ascii="Arial" w:cs="Arial" w:eastAsia="Arial" w:hAnsi="Arial"/>
          <w:sz w:val="22"/>
          <w:szCs w:val="22"/>
        </w:rPr>
        <w:t>Models: Logistic Regression  |  Decision Tree  |  Random Forest</w:t>
      </w:r>
    </w:p>
    <w:p>
      <w:pPr>
        <w:spacing w:before="0" w:after="0"/>
      </w:pPr>
      <w:r/>
    </w:p>
    <w:p>
      <w:pPr>
        <w:spacing w:before="0" w:after="0"/>
      </w:pPr>
      <w:r/>
    </w:p>
    <w:p>
      <w:pPr>
        <w:spacing w:before="0" w:after="0"/>
      </w:pPr>
      <w:r/>
    </w:p>
    <w:p>
      <w:pPr>
        <w:spacing w:before="0" w:after="0"/>
      </w:pPr>
      <w:r/>
    </w:p>
    <w:p>
      <w:pPr>
        <w:spacing w:before="0" w:after="0"/>
      </w:pPr>
      <w:r/>
    </w:p>
    <w:p>
      <w:pPr>
        <w:jc w:val="center"/>
        <w:rPr>
          <w:sz w:val="28"/>
        </w:rPr>
      </w:pPr>
      <w:r>
        <w:rPr>
          <w:sz w:val="28"/>
        </w:rPr>
        <w:t>SUBMITTED BY</w:t>
      </w:r>
    </w:p>
    <w:p>
      <w:pPr>
        <w:jc w:val="center"/>
        <w:rPr>
          <w:sz w:val="28"/>
        </w:rPr>
      </w:pPr>
      <w:r>
        <w:rPr>
          <w:sz w:val="28"/>
        </w:rPr>
        <w:t>SRUTHI JAKKE</w:t>
      </w:r>
    </w:p>
    <w:p>
      <w:pPr>
        <w:pageBreakBefore/>
      </w:pPr>
      <w:r>
        <w:br/>
      </w:r>
    </w:p>
    <w:p>
      <w:pPr>
        <w:pStyle w:val="Heading1"/>
        <w:spacing w:before="320" w:after="160"/>
      </w:pPr>
      <w:r>
        <w:rPr>
          <w:bCs/>
          <w:b/>
          <w:color w:val="1F497D"/>
          <w:rFonts w:ascii="Arial" w:cs="Arial" w:eastAsia="Arial" w:hAnsi="Arial"/>
          <w:sz w:val="32"/>
          <w:szCs w:val="32"/>
        </w:rPr>
        <w:t>1. Introduction</w:t>
      </w:r>
    </w:p>
    <w:p>
      <w:pPr>
        <w:spacing w:before="60" w:after="60" w:line="320" w:lineRule="auto"/>
      </w:pPr>
      <w:r>
        <w:rPr>
          <w:rFonts w:ascii="Arial" w:cs="Arial" w:eastAsia="Arial" w:hAnsi="Arial"/>
          <w:sz w:val="22"/>
          <w:szCs w:val="22"/>
        </w:rPr>
        <w:t>Diabetes mellitus is one of the most prevalent chronic diseases worldwide, affecting hundreds of millions of people. Early detection and diagnosis can significantly improve patient outcomes and reduce healthcare costs. Traditional diagnosis relies on clinical tests, but machine learning offers the potential to identify at-risk individuals based on routine health measurements.</w:t>
      </w:r>
    </w:p>
    <w:p>
      <w:pPr>
        <w:spacing w:before="0" w:after="0"/>
      </w:pPr>
      <w:r/>
    </w:p>
    <w:p>
      <w:pPr>
        <w:spacing w:before="60" w:after="60" w:line="320" w:lineRule="auto"/>
      </w:pPr>
      <w:r>
        <w:rPr>
          <w:rFonts w:ascii="Arial" w:cs="Arial" w:eastAsia="Arial" w:hAnsi="Arial"/>
          <w:sz w:val="22"/>
          <w:szCs w:val="22"/>
        </w:rPr>
        <w:t>This capstone project applies three supervised machine learning algorithms to predict the likelihood of diabetes in female patients of Pima Indian heritage, using the publicly available PIMA Indians Diabetes Dataset from Kaggle. The project covers data loading, cleaning, exploratory data analysis (EDA), model training, evaluation, and comparison.</w:t>
      </w:r>
    </w:p>
    <w:p>
      <w:pPr>
        <w:pStyle w:val="Heading2"/>
        <w:spacing w:before="200" w:after="100"/>
      </w:pPr>
      <w:r>
        <w:rPr>
          <w:bCs/>
          <w:b/>
          <w:color w:val="2E75B6"/>
          <w:rFonts w:ascii="Arial" w:cs="Arial" w:eastAsia="Arial" w:hAnsi="Arial"/>
          <w:sz w:val="26"/>
          <w:szCs w:val="26"/>
        </w:rPr>
        <w:t>1.1 Objectives</w:t>
      </w:r>
    </w:p>
    <w:p>
      <w:pPr>
        <w:pStyle w:val="ListParagraph"/>
        <w:numPr>
          <w:ilvl w:val="0"/>
          <w:numId w:val="2"/>
        </w:numPr>
        <w:spacing w:before="40" w:after="40"/>
      </w:pPr>
      <w:r>
        <w:rPr>
          <w:rFonts w:ascii="Arial" w:cs="Arial" w:eastAsia="Arial" w:hAnsi="Arial"/>
          <w:sz w:val="22"/>
          <w:szCs w:val="22"/>
        </w:rPr>
        <w:t>Load and clean the PIMA Indians Diabetes Dataset.</w:t>
      </w:r>
    </w:p>
    <w:p>
      <w:pPr>
        <w:pStyle w:val="ListParagraph"/>
        <w:numPr>
          <w:ilvl w:val="0"/>
          <w:numId w:val="2"/>
        </w:numPr>
        <w:spacing w:before="40" w:after="40"/>
      </w:pPr>
      <w:r>
        <w:rPr>
          <w:rFonts w:ascii="Arial" w:cs="Arial" w:eastAsia="Arial" w:hAnsi="Arial"/>
          <w:sz w:val="22"/>
          <w:szCs w:val="22"/>
        </w:rPr>
        <w:t>Perform exploratory data analysis to understand key patterns.</w:t>
      </w:r>
    </w:p>
    <w:p>
      <w:pPr>
        <w:pStyle w:val="ListParagraph"/>
        <w:numPr>
          <w:ilvl w:val="0"/>
          <w:numId w:val="2"/>
        </w:numPr>
        <w:spacing w:before="40" w:after="40"/>
      </w:pPr>
      <w:r>
        <w:rPr>
          <w:rFonts w:ascii="Arial" w:cs="Arial" w:eastAsia="Arial" w:hAnsi="Arial"/>
          <w:sz w:val="22"/>
          <w:szCs w:val="22"/>
        </w:rPr>
        <w:t>Train three machine learning models: Logistic Regression, Decision Tree, and Random Forest.</w:t>
      </w:r>
    </w:p>
    <w:p>
      <w:pPr>
        <w:pStyle w:val="ListParagraph"/>
        <w:numPr>
          <w:ilvl w:val="0"/>
          <w:numId w:val="2"/>
        </w:numPr>
        <w:spacing w:before="40" w:after="40"/>
      </w:pPr>
      <w:r>
        <w:rPr>
          <w:rFonts w:ascii="Arial" w:cs="Arial" w:eastAsia="Arial" w:hAnsi="Arial"/>
          <w:sz w:val="22"/>
          <w:szCs w:val="22"/>
        </w:rPr>
        <w:t>Evaluate and compare models using Accuracy, ROC-AUC, and Cross-Validation scores.</w:t>
      </w:r>
    </w:p>
    <w:p>
      <w:pPr>
        <w:pStyle w:val="ListParagraph"/>
        <w:numPr>
          <w:ilvl w:val="0"/>
          <w:numId w:val="2"/>
        </w:numPr>
        <w:spacing w:before="40" w:after="40"/>
      </w:pPr>
      <w:r>
        <w:rPr>
          <w:rFonts w:ascii="Arial" w:cs="Arial" w:eastAsia="Arial" w:hAnsi="Arial"/>
          <w:sz w:val="22"/>
          <w:szCs w:val="22"/>
        </w:rPr>
        <w:t>Identify the best-performing model for diabetes prediction.</w:t>
      </w:r>
    </w:p>
    <w:p>
      <w:pPr>
        <w:pStyle w:val="Heading2"/>
        <w:spacing w:before="200" w:after="100"/>
      </w:pPr>
      <w:r>
        <w:rPr>
          <w:bCs/>
          <w:b/>
          <w:color w:val="2E75B6"/>
          <w:rFonts w:ascii="Arial" w:cs="Arial" w:eastAsia="Arial" w:hAnsi="Arial"/>
          <w:sz w:val="26"/>
          <w:szCs w:val="26"/>
        </w:rPr>
        <w:t>1.2 Scope and Limitations</w:t>
      </w:r>
    </w:p>
    <w:p>
      <w:pPr>
        <w:spacing w:before="60" w:after="60" w:line="320" w:lineRule="auto"/>
      </w:pPr>
      <w:r>
        <w:rPr>
          <w:rFonts w:ascii="Arial" w:cs="Arial" w:eastAsia="Arial" w:hAnsi="Arial"/>
          <w:sz w:val="22"/>
          <w:szCs w:val="22"/>
        </w:rPr>
        <w:t>This project is limited to the PIMA Indians Diabetes Dataset and does not generalize to all populations. The models are trained for binary classification (diabetic vs. non-diabetic). The project does not include deployment or real-world clinical validation.</w:t>
      </w:r>
    </w:p>
    <w:p>
      <w:pPr>
        <w:pageBreakBefore/>
      </w:pPr>
      <w:r>
        <w:br/>
      </w:r>
    </w:p>
    <w:p>
      <w:pPr>
        <w:pStyle w:val="Heading1"/>
        <w:spacing w:before="320" w:after="160"/>
      </w:pPr>
      <w:r>
        <w:rPr>
          <w:bCs/>
          <w:b/>
          <w:color w:val="1F497D"/>
          <w:rFonts w:ascii="Arial" w:cs="Arial" w:eastAsia="Arial" w:hAnsi="Arial"/>
          <w:sz w:val="32"/>
          <w:szCs w:val="32"/>
        </w:rPr>
        <w:t>2. Dataset Description</w:t>
      </w:r>
    </w:p>
    <w:p>
      <w:pPr>
        <w:spacing w:before="60" w:after="60" w:line="320" w:lineRule="auto"/>
      </w:pPr>
      <w:r>
        <w:rPr>
          <w:rFonts w:ascii="Arial" w:cs="Arial" w:eastAsia="Arial" w:hAnsi="Arial"/>
          <w:sz w:val="22"/>
          <w:szCs w:val="22"/>
        </w:rPr>
        <w:t>The dataset used is the PIMA Indians Diabetes Database, available on Kaggle at: https://www.kaggle.com/datasets/uciml/pima-indians-diabetes-database. It was originally collected by the National Institute of Diabetes and Digestive and Kidney Diseases.</w:t>
      </w:r>
    </w:p>
    <w:p>
      <w:pPr>
        <w:pStyle w:val="Heading2"/>
        <w:spacing w:before="200" w:after="100"/>
      </w:pPr>
      <w:r>
        <w:rPr>
          <w:bCs/>
          <w:b/>
          <w:color w:val="2E75B6"/>
          <w:rFonts w:ascii="Arial" w:cs="Arial" w:eastAsia="Arial" w:hAnsi="Arial"/>
          <w:sz w:val="26"/>
          <w:szCs w:val="26"/>
        </w:rPr>
        <w:t>2.1 Dataset Overview</w:t>
      </w:r>
    </w:p>
    <w:p>
      <w:pPr>
        <w:spacing w:before="0" w:after="0"/>
      </w:pPr>
      <w:r/>
    </w:p>
    <w:tbl>
      <w:tblPr>
        <w:tblW w:type="dxa" w:w="9360"/>
        <w:tblBorders>
          <w:top w:val="single" w:sz="4" w:color="auto" w:space="0"/>
          <w:bottom w:val="single" w:sz="4" w:color="auto" w:space="0"/>
          <w:left w:val="single" w:sz="4" w:color="auto" w:space="0"/>
          <w:right w:val="single" w:sz="4" w:color="auto" w:space="0"/>
          <w:insideH w:val="single" w:sz="4" w:color="auto" w:space="0"/>
          <w:insideV w:val="single" w:sz="4" w:color="auto" w:space="0"/>
        </w:tblBorders>
      </w:tblPr>
      <w:tblGrid>
        <w:gridCol w:w="3500"/>
        <w:gridCol w:w="5860"/>
      </w:tblGrid>
      <w:tr>
        <w:tc>
          <w:tcPr>
            <w:tcMar>
              <w:top w:type="dxa" w:w="80"/>
              <w:left w:type="dxa" w:w="120"/>
              <w:bottom w:type="dxa" w:w="80"/>
              <w:right w:type="dxa" w:w="120"/>
            </w:tcMar>
            <w:tcBorders>
              <w:top w:val="single" w:sz="1" w:color="AAAAAA" w:space="0"/>
              <w:bottom w:val="single" w:sz="1" w:color="AAAAAA" w:space="0"/>
              <w:left w:val="single" w:sz="1" w:color="AAAAAA" w:space="0"/>
              <w:right w:val="single" w:sz="1" w:color="AAAAAA" w:space="0"/>
            </w:tcBorders>
            <w:shd w:fill="2E75B6" w:val="clear"/>
            <w:tcW w:w="3500" w:type="dxa"/>
          </w:tcPr>
          <w:p>
            <w:r>
              <w:rPr>
                <w:bCs/>
                <w:b/>
                <w:color w:val="FFFFFF"/>
                <w:rFonts w:ascii="Arial" w:cs="Arial" w:eastAsia="Arial" w:hAnsi="Arial"/>
                <w:sz w:val="20"/>
                <w:szCs w:val="20"/>
              </w:rPr>
              <w:t>Property</w:t>
            </w:r>
          </w:p>
        </w:tc>
        <w:tc>
          <w:tcPr>
            <w:tcMar>
              <w:top w:type="dxa" w:w="80"/>
              <w:left w:type="dxa" w:w="120"/>
              <w:bottom w:type="dxa" w:w="80"/>
              <w:right w:type="dxa" w:w="120"/>
            </w:tcMar>
            <w:tcBorders>
              <w:top w:val="single" w:sz="1" w:color="AAAAAA" w:space="0"/>
              <w:bottom w:val="single" w:sz="1" w:color="AAAAAA" w:space="0"/>
              <w:left w:val="single" w:sz="1" w:color="AAAAAA" w:space="0"/>
              <w:right w:val="single" w:sz="1" w:color="AAAAAA" w:space="0"/>
            </w:tcBorders>
            <w:shd w:fill="2E75B6" w:val="clear"/>
            <w:tcW w:w="5860" w:type="dxa"/>
          </w:tcPr>
          <w:p>
            <w:r>
              <w:rPr>
                <w:bCs/>
                <w:b/>
                <w:color w:val="FFFFFF"/>
                <w:rFonts w:ascii="Arial" w:cs="Arial" w:eastAsia="Arial" w:hAnsi="Arial"/>
                <w:sz w:val="20"/>
                <w:szCs w:val="20"/>
              </w:rPr>
              <w:t>Value</w:t>
            </w:r>
          </w:p>
        </w:tc>
      </w:tr>
      <w:tr>
        <w:tc>
          <w:tcPr>
            <w:tcMar>
              <w:top w:type="dxa" w:w="80"/>
              <w:left w:type="dxa" w:w="120"/>
              <w:bottom w:type="dxa" w:w="80"/>
              <w:right w:type="dxa" w:w="120"/>
            </w:tcMar>
            <w:tcBorders>
              <w:top w:val="single" w:sz="1" w:color="AAAAAA" w:space="0"/>
              <w:bottom w:val="single" w:sz="1" w:color="AAAAAA" w:space="0"/>
              <w:left w:val="single" w:sz="1" w:color="AAAAAA" w:space="0"/>
              <w:right w:val="single" w:sz="1" w:color="AAAAAA" w:space="0"/>
            </w:tcBorders>
            <w:shd w:fill="F5F5F5" w:val="clear"/>
            <w:tcW w:w="3500" w:type="dxa"/>
          </w:tcPr>
          <w:p>
            <w:r>
              <w:rPr>
                <w:bCs w:val="false"/>
                <w:b w:val="0"/>
                <w:color w:val="000000"/>
                <w:rFonts w:ascii="Arial" w:cs="Arial" w:eastAsia="Arial" w:hAnsi="Arial"/>
                <w:sz w:val="20"/>
                <w:szCs w:val="20"/>
              </w:rPr>
              <w:t>Total Records</w:t>
            </w:r>
          </w:p>
        </w:tc>
        <w:tc>
          <w:tcPr>
            <w:tcMar>
              <w:top w:type="dxa" w:w="80"/>
              <w:left w:type="dxa" w:w="120"/>
              <w:bottom w:type="dxa" w:w="80"/>
              <w:right w:type="dxa" w:w="120"/>
            </w:tcMar>
            <w:tcBorders>
              <w:top w:val="single" w:sz="1" w:color="AAAAAA" w:space="0"/>
              <w:bottom w:val="single" w:sz="1" w:color="AAAAAA" w:space="0"/>
              <w:left w:val="single" w:sz="1" w:color="AAAAAA" w:space="0"/>
              <w:right w:val="single" w:sz="1" w:color="AAAAAA" w:space="0"/>
            </w:tcBorders>
            <w:shd w:fill="F5F5F5" w:val="clear"/>
            <w:tcW w:w="5860" w:type="dxa"/>
          </w:tcPr>
          <w:p>
            <w:r>
              <w:rPr>
                <w:bCs w:val="false"/>
                <w:b w:val="0"/>
                <w:color w:val="000000"/>
                <w:rFonts w:ascii="Arial" w:cs="Arial" w:eastAsia="Arial" w:hAnsi="Arial"/>
                <w:sz w:val="20"/>
                <w:szCs w:val="20"/>
              </w:rPr>
              <w:t>768 rows</w:t>
            </w:r>
          </w:p>
        </w:tc>
      </w:tr>
      <w:tr>
        <w:tc>
          <w:tcPr>
            <w:tcMar>
              <w:top w:type="dxa" w:w="80"/>
              <w:left w:type="dxa" w:w="120"/>
              <w:bottom w:type="dxa" w:w="80"/>
              <w:right w:type="dxa" w:w="120"/>
            </w:tcMar>
            <w:tcBorders>
              <w:top w:val="single" w:sz="1" w:color="AAAAAA" w:space="0"/>
              <w:bottom w:val="single" w:sz="1" w:color="AAAAAA" w:space="0"/>
              <w:left w:val="single" w:sz="1" w:color="AAAAAA" w:space="0"/>
              <w:right w:val="single" w:sz="1" w:color="AAAAAA" w:space="0"/>
            </w:tcBorders>
            <w:shd w:fill="F5F5F5" w:val="clear"/>
            <w:tcW w:w="3500" w:type="dxa"/>
          </w:tcPr>
          <w:p>
            <w:r>
              <w:rPr>
                <w:bCs w:val="false"/>
                <w:b w:val="0"/>
                <w:color w:val="000000"/>
                <w:rFonts w:ascii="Arial" w:cs="Arial" w:eastAsia="Arial" w:hAnsi="Arial"/>
                <w:sz w:val="20"/>
                <w:szCs w:val="20"/>
              </w:rPr>
              <w:t>Number of Features</w:t>
            </w:r>
          </w:p>
        </w:tc>
        <w:tc>
          <w:tcPr>
            <w:tcMar>
              <w:top w:type="dxa" w:w="80"/>
              <w:left w:type="dxa" w:w="120"/>
              <w:bottom w:type="dxa" w:w="80"/>
              <w:right w:type="dxa" w:w="120"/>
            </w:tcMar>
            <w:tcBorders>
              <w:top w:val="single" w:sz="1" w:color="AAAAAA" w:space="0"/>
              <w:bottom w:val="single" w:sz="1" w:color="AAAAAA" w:space="0"/>
              <w:left w:val="single" w:sz="1" w:color="AAAAAA" w:space="0"/>
              <w:right w:val="single" w:sz="1" w:color="AAAAAA" w:space="0"/>
            </w:tcBorders>
            <w:shd w:fill="F5F5F5" w:val="clear"/>
            <w:tcW w:w="5860" w:type="dxa"/>
          </w:tcPr>
          <w:p>
            <w:r>
              <w:rPr>
                <w:bCs w:val="false"/>
                <w:b w:val="0"/>
                <w:color w:val="000000"/>
                <w:rFonts w:ascii="Arial" w:cs="Arial" w:eastAsia="Arial" w:hAnsi="Arial"/>
                <w:sz w:val="20"/>
                <w:szCs w:val="20"/>
              </w:rPr>
              <w:t>8 input features + 1 target</w:t>
            </w:r>
          </w:p>
        </w:tc>
      </w:tr>
      <w:tr>
        <w:tc>
          <w:tcPr>
            <w:tcMar>
              <w:top w:type="dxa" w:w="80"/>
              <w:left w:type="dxa" w:w="120"/>
              <w:bottom w:type="dxa" w:w="80"/>
              <w:right w:type="dxa" w:w="120"/>
            </w:tcMar>
            <w:tcBorders>
              <w:top w:val="single" w:sz="1" w:color="AAAAAA" w:space="0"/>
              <w:bottom w:val="single" w:sz="1" w:color="AAAAAA" w:space="0"/>
              <w:left w:val="single" w:sz="1" w:color="AAAAAA" w:space="0"/>
              <w:right w:val="single" w:sz="1" w:color="AAAAAA" w:space="0"/>
            </w:tcBorders>
            <w:shd w:fill="F5F5F5" w:val="clear"/>
            <w:tcW w:w="3500" w:type="dxa"/>
          </w:tcPr>
          <w:p>
            <w:r>
              <w:rPr>
                <w:bCs w:val="false"/>
                <w:b w:val="0"/>
                <w:color w:val="000000"/>
                <w:rFonts w:ascii="Arial" w:cs="Arial" w:eastAsia="Arial" w:hAnsi="Arial"/>
                <w:sz w:val="20"/>
                <w:szCs w:val="20"/>
              </w:rPr>
              <w:t>Target Variable</w:t>
            </w:r>
          </w:p>
        </w:tc>
        <w:tc>
          <w:tcPr>
            <w:tcMar>
              <w:top w:type="dxa" w:w="80"/>
              <w:left w:type="dxa" w:w="120"/>
              <w:bottom w:type="dxa" w:w="80"/>
              <w:right w:type="dxa" w:w="120"/>
            </w:tcMar>
            <w:tcBorders>
              <w:top w:val="single" w:sz="1" w:color="AAAAAA" w:space="0"/>
              <w:bottom w:val="single" w:sz="1" w:color="AAAAAA" w:space="0"/>
              <w:left w:val="single" w:sz="1" w:color="AAAAAA" w:space="0"/>
              <w:right w:val="single" w:sz="1" w:color="AAAAAA" w:space="0"/>
            </w:tcBorders>
            <w:shd w:fill="F5F5F5" w:val="clear"/>
            <w:tcW w:w="5860" w:type="dxa"/>
          </w:tcPr>
          <w:p>
            <w:r>
              <w:rPr>
                <w:bCs w:val="false"/>
                <w:b w:val="0"/>
                <w:color w:val="000000"/>
                <w:rFonts w:ascii="Arial" w:cs="Arial" w:eastAsia="Arial" w:hAnsi="Arial"/>
                <w:sz w:val="20"/>
                <w:szCs w:val="20"/>
              </w:rPr>
              <w:t>Outcome (0 = No Diabetes, 1 = Diabetes)</w:t>
            </w:r>
          </w:p>
        </w:tc>
      </w:tr>
      <w:tr>
        <w:tc>
          <w:tcPr>
            <w:tcMar>
              <w:top w:type="dxa" w:w="80"/>
              <w:left w:type="dxa" w:w="120"/>
              <w:bottom w:type="dxa" w:w="80"/>
              <w:right w:type="dxa" w:w="120"/>
            </w:tcMar>
            <w:tcBorders>
              <w:top w:val="single" w:sz="1" w:color="AAAAAA" w:space="0"/>
              <w:bottom w:val="single" w:sz="1" w:color="AAAAAA" w:space="0"/>
              <w:left w:val="single" w:sz="1" w:color="AAAAAA" w:space="0"/>
              <w:right w:val="single" w:sz="1" w:color="AAAAAA" w:space="0"/>
            </w:tcBorders>
            <w:shd w:fill="F5F5F5" w:val="clear"/>
            <w:tcW w:w="3500" w:type="dxa"/>
          </w:tcPr>
          <w:p>
            <w:r>
              <w:rPr>
                <w:bCs w:val="false"/>
                <w:b w:val="0"/>
                <w:color w:val="000000"/>
                <w:rFonts w:ascii="Arial" w:cs="Arial" w:eastAsia="Arial" w:hAnsi="Arial"/>
                <w:sz w:val="20"/>
                <w:szCs w:val="20"/>
              </w:rPr>
              <w:t>Positive Cases (Diabetes)</w:t>
            </w:r>
          </w:p>
        </w:tc>
        <w:tc>
          <w:tcPr>
            <w:tcMar>
              <w:top w:type="dxa" w:w="80"/>
              <w:left w:type="dxa" w:w="120"/>
              <w:bottom w:type="dxa" w:w="80"/>
              <w:right w:type="dxa" w:w="120"/>
            </w:tcMar>
            <w:tcBorders>
              <w:top w:val="single" w:sz="1" w:color="AAAAAA" w:space="0"/>
              <w:bottom w:val="single" w:sz="1" w:color="AAAAAA" w:space="0"/>
              <w:left w:val="single" w:sz="1" w:color="AAAAAA" w:space="0"/>
              <w:right w:val="single" w:sz="1" w:color="AAAAAA" w:space="0"/>
            </w:tcBorders>
            <w:shd w:fill="F5F5F5" w:val="clear"/>
            <w:tcW w:w="5860" w:type="dxa"/>
          </w:tcPr>
          <w:p>
            <w:r>
              <w:rPr>
                <w:bCs w:val="false"/>
                <w:b w:val="0"/>
                <w:color w:val="000000"/>
                <w:rFonts w:ascii="Arial" w:cs="Arial" w:eastAsia="Arial" w:hAnsi="Arial"/>
                <w:sz w:val="20"/>
                <w:szCs w:val="20"/>
              </w:rPr>
              <w:t>268 (34.9%)</w:t>
            </w:r>
          </w:p>
        </w:tc>
      </w:tr>
      <w:tr>
        <w:tc>
          <w:tcPr>
            <w:tcMar>
              <w:top w:type="dxa" w:w="80"/>
              <w:left w:type="dxa" w:w="120"/>
              <w:bottom w:type="dxa" w:w="80"/>
              <w:right w:type="dxa" w:w="120"/>
            </w:tcMar>
            <w:tcBorders>
              <w:top w:val="single" w:sz="1" w:color="AAAAAA" w:space="0"/>
              <w:bottom w:val="single" w:sz="1" w:color="AAAAAA" w:space="0"/>
              <w:left w:val="single" w:sz="1" w:color="AAAAAA" w:space="0"/>
              <w:right w:val="single" w:sz="1" w:color="AAAAAA" w:space="0"/>
            </w:tcBorders>
            <w:shd w:fill="F5F5F5" w:val="clear"/>
            <w:tcW w:w="3500" w:type="dxa"/>
          </w:tcPr>
          <w:p>
            <w:r>
              <w:rPr>
                <w:bCs w:val="false"/>
                <w:b w:val="0"/>
                <w:color w:val="000000"/>
                <w:rFonts w:ascii="Arial" w:cs="Arial" w:eastAsia="Arial" w:hAnsi="Arial"/>
                <w:sz w:val="20"/>
                <w:szCs w:val="20"/>
              </w:rPr>
              <w:t>Negative Cases (No Diabetes)</w:t>
            </w:r>
          </w:p>
        </w:tc>
        <w:tc>
          <w:tcPr>
            <w:tcMar>
              <w:top w:type="dxa" w:w="80"/>
              <w:left w:type="dxa" w:w="120"/>
              <w:bottom w:type="dxa" w:w="80"/>
              <w:right w:type="dxa" w:w="120"/>
            </w:tcMar>
            <w:tcBorders>
              <w:top w:val="single" w:sz="1" w:color="AAAAAA" w:space="0"/>
              <w:bottom w:val="single" w:sz="1" w:color="AAAAAA" w:space="0"/>
              <w:left w:val="single" w:sz="1" w:color="AAAAAA" w:space="0"/>
              <w:right w:val="single" w:sz="1" w:color="AAAAAA" w:space="0"/>
            </w:tcBorders>
            <w:shd w:fill="F5F5F5" w:val="clear"/>
            <w:tcW w:w="5860" w:type="dxa"/>
          </w:tcPr>
          <w:p>
            <w:r>
              <w:rPr>
                <w:bCs w:val="false"/>
                <w:b w:val="0"/>
                <w:color w:val="000000"/>
                <w:rFonts w:ascii="Arial" w:cs="Arial" w:eastAsia="Arial" w:hAnsi="Arial"/>
                <w:sz w:val="20"/>
                <w:szCs w:val="20"/>
              </w:rPr>
              <w:t>500 (65.1%)</w:t>
            </w:r>
          </w:p>
        </w:tc>
      </w:tr>
      <w:tr>
        <w:tc>
          <w:tcPr>
            <w:tcMar>
              <w:top w:type="dxa" w:w="80"/>
              <w:left w:type="dxa" w:w="120"/>
              <w:bottom w:type="dxa" w:w="80"/>
              <w:right w:type="dxa" w:w="120"/>
            </w:tcMar>
            <w:tcBorders>
              <w:top w:val="single" w:sz="1" w:color="AAAAAA" w:space="0"/>
              <w:bottom w:val="single" w:sz="1" w:color="AAAAAA" w:space="0"/>
              <w:left w:val="single" w:sz="1" w:color="AAAAAA" w:space="0"/>
              <w:right w:val="single" w:sz="1" w:color="AAAAAA" w:space="0"/>
            </w:tcBorders>
            <w:shd w:fill="F5F5F5" w:val="clear"/>
            <w:tcW w:w="3500" w:type="dxa"/>
          </w:tcPr>
          <w:p>
            <w:r>
              <w:rPr>
                <w:bCs w:val="false"/>
                <w:b w:val="0"/>
                <w:color w:val="000000"/>
                <w:rFonts w:ascii="Arial" w:cs="Arial" w:eastAsia="Arial" w:hAnsi="Arial"/>
                <w:sz w:val="20"/>
                <w:szCs w:val="20"/>
              </w:rPr>
              <w:t>Missing Values (Original)</w:t>
            </w:r>
          </w:p>
        </w:tc>
        <w:tc>
          <w:tcPr>
            <w:tcMar>
              <w:top w:type="dxa" w:w="80"/>
              <w:left w:type="dxa" w:w="120"/>
              <w:bottom w:type="dxa" w:w="80"/>
              <w:right w:type="dxa" w:w="120"/>
            </w:tcMar>
            <w:tcBorders>
              <w:top w:val="single" w:sz="1" w:color="AAAAAA" w:space="0"/>
              <w:bottom w:val="single" w:sz="1" w:color="AAAAAA" w:space="0"/>
              <w:left w:val="single" w:sz="1" w:color="AAAAAA" w:space="0"/>
              <w:right w:val="single" w:sz="1" w:color="AAAAAA" w:space="0"/>
            </w:tcBorders>
            <w:shd w:fill="F5F5F5" w:val="clear"/>
            <w:tcW w:w="5860" w:type="dxa"/>
          </w:tcPr>
          <w:p>
            <w:r>
              <w:rPr>
                <w:bCs w:val="false"/>
                <w:b w:val="0"/>
                <w:color w:val="000000"/>
                <w:rFonts w:ascii="Arial" w:cs="Arial" w:eastAsia="Arial" w:hAnsi="Arial"/>
                <w:sz w:val="20"/>
                <w:szCs w:val="20"/>
              </w:rPr>
              <w:t>None explicitly; zeros used as placeholders</w:t>
            </w:r>
          </w:p>
        </w:tc>
      </w:tr>
    </w:tbl>
    <w:p>
      <w:pPr>
        <w:spacing w:before="0" w:after="0"/>
      </w:pPr>
      <w:r/>
    </w:p>
    <w:p>
      <w:pPr>
        <w:pStyle w:val="Heading2"/>
        <w:spacing w:before="200" w:after="100"/>
      </w:pPr>
      <w:r>
        <w:rPr>
          <w:bCs/>
          <w:b/>
          <w:color w:val="2E75B6"/>
          <w:rFonts w:ascii="Arial" w:cs="Arial" w:eastAsia="Arial" w:hAnsi="Arial"/>
          <w:sz w:val="26"/>
          <w:szCs w:val="26"/>
        </w:rPr>
        <w:t>2.2 Feature Descriptions</w:t>
      </w:r>
    </w:p>
    <w:p>
      <w:pPr>
        <w:spacing w:before="0" w:after="0"/>
      </w:pPr>
      <w:r/>
    </w:p>
    <w:tbl>
      <w:tblPr>
        <w:tblW w:type="dxa" w:w="9360"/>
        <w:tblBorders>
          <w:top w:val="single" w:sz="4" w:color="auto" w:space="0"/>
          <w:bottom w:val="single" w:sz="4" w:color="auto" w:space="0"/>
          <w:left w:val="single" w:sz="4" w:color="auto" w:space="0"/>
          <w:right w:val="single" w:sz="4" w:color="auto" w:space="0"/>
          <w:insideH w:val="single" w:sz="4" w:color="auto" w:space="0"/>
          <w:insideV w:val="single" w:sz="4" w:color="auto" w:space="0"/>
        </w:tblBorders>
      </w:tblPr>
      <w:tblGrid>
        <w:gridCol w:w="2600"/>
        <w:gridCol w:w="4160"/>
        <w:gridCol w:w="2600"/>
      </w:tblGrid>
      <w:tr>
        <w:tc>
          <w:tcPr>
            <w:tcMar>
              <w:top w:type="dxa" w:w="80"/>
              <w:left w:type="dxa" w:w="120"/>
              <w:bottom w:type="dxa" w:w="80"/>
              <w:right w:type="dxa" w:w="120"/>
            </w:tcMar>
            <w:tcBorders>
              <w:top w:val="single" w:sz="1" w:color="AAAAAA" w:space="0"/>
              <w:bottom w:val="single" w:sz="1" w:color="AAAAAA" w:space="0"/>
              <w:left w:val="single" w:sz="1" w:color="AAAAAA" w:space="0"/>
              <w:right w:val="single" w:sz="1" w:color="AAAAAA" w:space="0"/>
            </w:tcBorders>
            <w:shd w:fill="2E75B6" w:val="clear"/>
            <w:tcW w:w="2600" w:type="dxa"/>
          </w:tcPr>
          <w:p>
            <w:r>
              <w:rPr>
                <w:bCs/>
                <w:b/>
                <w:color w:val="FFFFFF"/>
                <w:rFonts w:ascii="Arial" w:cs="Arial" w:eastAsia="Arial" w:hAnsi="Arial"/>
                <w:sz w:val="20"/>
                <w:szCs w:val="20"/>
              </w:rPr>
              <w:t>Feature</w:t>
            </w:r>
          </w:p>
        </w:tc>
        <w:tc>
          <w:tcPr>
            <w:tcMar>
              <w:top w:type="dxa" w:w="80"/>
              <w:left w:type="dxa" w:w="120"/>
              <w:bottom w:type="dxa" w:w="80"/>
              <w:right w:type="dxa" w:w="120"/>
            </w:tcMar>
            <w:tcBorders>
              <w:top w:val="single" w:sz="1" w:color="AAAAAA" w:space="0"/>
              <w:bottom w:val="single" w:sz="1" w:color="AAAAAA" w:space="0"/>
              <w:left w:val="single" w:sz="1" w:color="AAAAAA" w:space="0"/>
              <w:right w:val="single" w:sz="1" w:color="AAAAAA" w:space="0"/>
            </w:tcBorders>
            <w:shd w:fill="2E75B6" w:val="clear"/>
            <w:tcW w:w="4160" w:type="dxa"/>
          </w:tcPr>
          <w:p>
            <w:r>
              <w:rPr>
                <w:bCs/>
                <w:b/>
                <w:color w:val="FFFFFF"/>
                <w:rFonts w:ascii="Arial" w:cs="Arial" w:eastAsia="Arial" w:hAnsi="Arial"/>
                <w:sz w:val="20"/>
                <w:szCs w:val="20"/>
              </w:rPr>
              <w:t>Description</w:t>
            </w:r>
          </w:p>
        </w:tc>
        <w:tc>
          <w:tcPr>
            <w:tcMar>
              <w:top w:type="dxa" w:w="80"/>
              <w:left w:type="dxa" w:w="120"/>
              <w:bottom w:type="dxa" w:w="80"/>
              <w:right w:type="dxa" w:w="120"/>
            </w:tcMar>
            <w:tcBorders>
              <w:top w:val="single" w:sz="1" w:color="AAAAAA" w:space="0"/>
              <w:bottom w:val="single" w:sz="1" w:color="AAAAAA" w:space="0"/>
              <w:left w:val="single" w:sz="1" w:color="AAAAAA" w:space="0"/>
              <w:right w:val="single" w:sz="1" w:color="AAAAAA" w:space="0"/>
            </w:tcBorders>
            <w:shd w:fill="2E75B6" w:val="clear"/>
            <w:tcW w:w="2600" w:type="dxa"/>
          </w:tcPr>
          <w:p>
            <w:r>
              <w:rPr>
                <w:bCs/>
                <w:b/>
                <w:color w:val="FFFFFF"/>
                <w:rFonts w:ascii="Arial" w:cs="Arial" w:eastAsia="Arial" w:hAnsi="Arial"/>
                <w:sz w:val="20"/>
                <w:szCs w:val="20"/>
              </w:rPr>
              <w:t>Unit</w:t>
            </w:r>
          </w:p>
        </w:tc>
      </w:tr>
      <w:tr>
        <w:tc>
          <w:tcPr>
            <w:tcMar>
              <w:top w:type="dxa" w:w="80"/>
              <w:left w:type="dxa" w:w="120"/>
              <w:bottom w:type="dxa" w:w="80"/>
              <w:right w:type="dxa" w:w="120"/>
            </w:tcMar>
            <w:tcBorders>
              <w:top w:val="single" w:sz="1" w:color="AAAAAA" w:space="0"/>
              <w:bottom w:val="single" w:sz="1" w:color="AAAAAA" w:space="0"/>
              <w:left w:val="single" w:sz="1" w:color="AAAAAA" w:space="0"/>
              <w:right w:val="single" w:sz="1" w:color="AAAAAA" w:space="0"/>
            </w:tcBorders>
            <w:shd w:fill="F5F5F5" w:val="clear"/>
            <w:tcW w:w="2600" w:type="dxa"/>
          </w:tcPr>
          <w:p>
            <w:r>
              <w:rPr>
                <w:bCs w:val="false"/>
                <w:b w:val="0"/>
                <w:color w:val="000000"/>
                <w:rFonts w:ascii="Arial" w:cs="Arial" w:eastAsia="Arial" w:hAnsi="Arial"/>
                <w:sz w:val="20"/>
                <w:szCs w:val="20"/>
              </w:rPr>
              <w:t>Pregnancies</w:t>
            </w:r>
          </w:p>
        </w:tc>
        <w:tc>
          <w:tcPr>
            <w:tcMar>
              <w:top w:type="dxa" w:w="80"/>
              <w:left w:type="dxa" w:w="120"/>
              <w:bottom w:type="dxa" w:w="80"/>
              <w:right w:type="dxa" w:w="120"/>
            </w:tcMar>
            <w:tcBorders>
              <w:top w:val="single" w:sz="1" w:color="AAAAAA" w:space="0"/>
              <w:bottom w:val="single" w:sz="1" w:color="AAAAAA" w:space="0"/>
              <w:left w:val="single" w:sz="1" w:color="AAAAAA" w:space="0"/>
              <w:right w:val="single" w:sz="1" w:color="AAAAAA" w:space="0"/>
            </w:tcBorders>
            <w:shd w:fill="F5F5F5" w:val="clear"/>
            <w:tcW w:w="4160" w:type="dxa"/>
          </w:tcPr>
          <w:p>
            <w:r>
              <w:rPr>
                <w:bCs w:val="false"/>
                <w:b w:val="0"/>
                <w:color w:val="000000"/>
                <w:rFonts w:ascii="Arial" w:cs="Arial" w:eastAsia="Arial" w:hAnsi="Arial"/>
                <w:sz w:val="20"/>
                <w:szCs w:val="20"/>
              </w:rPr>
              <w:t>Number of times pregnant</w:t>
            </w:r>
          </w:p>
        </w:tc>
        <w:tc>
          <w:tcPr>
            <w:tcMar>
              <w:top w:type="dxa" w:w="80"/>
              <w:left w:type="dxa" w:w="120"/>
              <w:bottom w:type="dxa" w:w="80"/>
              <w:right w:type="dxa" w:w="120"/>
            </w:tcMar>
            <w:tcBorders>
              <w:top w:val="single" w:sz="1" w:color="AAAAAA" w:space="0"/>
              <w:bottom w:val="single" w:sz="1" w:color="AAAAAA" w:space="0"/>
              <w:left w:val="single" w:sz="1" w:color="AAAAAA" w:space="0"/>
              <w:right w:val="single" w:sz="1" w:color="AAAAAA" w:space="0"/>
            </w:tcBorders>
            <w:shd w:fill="F5F5F5" w:val="clear"/>
            <w:tcW w:w="2600" w:type="dxa"/>
          </w:tcPr>
          <w:p>
            <w:r>
              <w:rPr>
                <w:bCs w:val="false"/>
                <w:b w:val="0"/>
                <w:color w:val="000000"/>
                <w:rFonts w:ascii="Arial" w:cs="Arial" w:eastAsia="Arial" w:hAnsi="Arial"/>
                <w:sz w:val="20"/>
                <w:szCs w:val="20"/>
              </w:rPr>
              <w:t>Count</w:t>
            </w:r>
          </w:p>
        </w:tc>
      </w:tr>
      <w:tr>
        <w:tc>
          <w:tcPr>
            <w:tcMar>
              <w:top w:type="dxa" w:w="80"/>
              <w:left w:type="dxa" w:w="120"/>
              <w:bottom w:type="dxa" w:w="80"/>
              <w:right w:type="dxa" w:w="120"/>
            </w:tcMar>
            <w:tcBorders>
              <w:top w:val="single" w:sz="1" w:color="AAAAAA" w:space="0"/>
              <w:bottom w:val="single" w:sz="1" w:color="AAAAAA" w:space="0"/>
              <w:left w:val="single" w:sz="1" w:color="AAAAAA" w:space="0"/>
              <w:right w:val="single" w:sz="1" w:color="AAAAAA" w:space="0"/>
            </w:tcBorders>
            <w:shd w:fill="F5F5F5" w:val="clear"/>
            <w:tcW w:w="2600" w:type="dxa"/>
          </w:tcPr>
          <w:p>
            <w:r>
              <w:rPr>
                <w:bCs w:val="false"/>
                <w:b w:val="0"/>
                <w:color w:val="000000"/>
                <w:rFonts w:ascii="Arial" w:cs="Arial" w:eastAsia="Arial" w:hAnsi="Arial"/>
                <w:sz w:val="20"/>
                <w:szCs w:val="20"/>
              </w:rPr>
              <w:t>Glucose</w:t>
            </w:r>
          </w:p>
        </w:tc>
        <w:tc>
          <w:tcPr>
            <w:tcMar>
              <w:top w:type="dxa" w:w="80"/>
              <w:left w:type="dxa" w:w="120"/>
              <w:bottom w:type="dxa" w:w="80"/>
              <w:right w:type="dxa" w:w="120"/>
            </w:tcMar>
            <w:tcBorders>
              <w:top w:val="single" w:sz="1" w:color="AAAAAA" w:space="0"/>
              <w:bottom w:val="single" w:sz="1" w:color="AAAAAA" w:space="0"/>
              <w:left w:val="single" w:sz="1" w:color="AAAAAA" w:space="0"/>
              <w:right w:val="single" w:sz="1" w:color="AAAAAA" w:space="0"/>
            </w:tcBorders>
            <w:shd w:fill="F5F5F5" w:val="clear"/>
            <w:tcW w:w="4160" w:type="dxa"/>
          </w:tcPr>
          <w:p>
            <w:r>
              <w:rPr>
                <w:bCs w:val="false"/>
                <w:b w:val="0"/>
                <w:color w:val="000000"/>
                <w:rFonts w:ascii="Arial" w:cs="Arial" w:eastAsia="Arial" w:hAnsi="Arial"/>
                <w:sz w:val="20"/>
                <w:szCs w:val="20"/>
              </w:rPr>
              <w:t>Plasma glucose concentration (2hr oral glucose tolerance test)</w:t>
            </w:r>
          </w:p>
        </w:tc>
        <w:tc>
          <w:tcPr>
            <w:tcMar>
              <w:top w:type="dxa" w:w="80"/>
              <w:left w:type="dxa" w:w="120"/>
              <w:bottom w:type="dxa" w:w="80"/>
              <w:right w:type="dxa" w:w="120"/>
            </w:tcMar>
            <w:tcBorders>
              <w:top w:val="single" w:sz="1" w:color="AAAAAA" w:space="0"/>
              <w:bottom w:val="single" w:sz="1" w:color="AAAAAA" w:space="0"/>
              <w:left w:val="single" w:sz="1" w:color="AAAAAA" w:space="0"/>
              <w:right w:val="single" w:sz="1" w:color="AAAAAA" w:space="0"/>
            </w:tcBorders>
            <w:shd w:fill="F5F5F5" w:val="clear"/>
            <w:tcW w:w="2600" w:type="dxa"/>
          </w:tcPr>
          <w:p>
            <w:r>
              <w:rPr>
                <w:bCs w:val="false"/>
                <w:b w:val="0"/>
                <w:color w:val="000000"/>
                <w:rFonts w:ascii="Arial" w:cs="Arial" w:eastAsia="Arial" w:hAnsi="Arial"/>
                <w:sz w:val="20"/>
                <w:szCs w:val="20"/>
              </w:rPr>
              <w:t>mg/dL</w:t>
            </w:r>
          </w:p>
        </w:tc>
      </w:tr>
      <w:tr>
        <w:tc>
          <w:tcPr>
            <w:tcMar>
              <w:top w:type="dxa" w:w="80"/>
              <w:left w:type="dxa" w:w="120"/>
              <w:bottom w:type="dxa" w:w="80"/>
              <w:right w:type="dxa" w:w="120"/>
            </w:tcMar>
            <w:tcBorders>
              <w:top w:val="single" w:sz="1" w:color="AAAAAA" w:space="0"/>
              <w:bottom w:val="single" w:sz="1" w:color="AAAAAA" w:space="0"/>
              <w:left w:val="single" w:sz="1" w:color="AAAAAA" w:space="0"/>
              <w:right w:val="single" w:sz="1" w:color="AAAAAA" w:space="0"/>
            </w:tcBorders>
            <w:shd w:fill="F5F5F5" w:val="clear"/>
            <w:tcW w:w="2600" w:type="dxa"/>
          </w:tcPr>
          <w:p>
            <w:r>
              <w:rPr>
                <w:bCs w:val="false"/>
                <w:b w:val="0"/>
                <w:color w:val="000000"/>
                <w:rFonts w:ascii="Arial" w:cs="Arial" w:eastAsia="Arial" w:hAnsi="Arial"/>
                <w:sz w:val="20"/>
                <w:szCs w:val="20"/>
              </w:rPr>
              <w:t>BloodPressure</w:t>
            </w:r>
          </w:p>
        </w:tc>
        <w:tc>
          <w:tcPr>
            <w:tcMar>
              <w:top w:type="dxa" w:w="80"/>
              <w:left w:type="dxa" w:w="120"/>
              <w:bottom w:type="dxa" w:w="80"/>
              <w:right w:type="dxa" w:w="120"/>
            </w:tcMar>
            <w:tcBorders>
              <w:top w:val="single" w:sz="1" w:color="AAAAAA" w:space="0"/>
              <w:bottom w:val="single" w:sz="1" w:color="AAAAAA" w:space="0"/>
              <w:left w:val="single" w:sz="1" w:color="AAAAAA" w:space="0"/>
              <w:right w:val="single" w:sz="1" w:color="AAAAAA" w:space="0"/>
            </w:tcBorders>
            <w:shd w:fill="F5F5F5" w:val="clear"/>
            <w:tcW w:w="4160" w:type="dxa"/>
          </w:tcPr>
          <w:p>
            <w:r>
              <w:rPr>
                <w:bCs w:val="false"/>
                <w:b w:val="0"/>
                <w:color w:val="000000"/>
                <w:rFonts w:ascii="Arial" w:cs="Arial" w:eastAsia="Arial" w:hAnsi="Arial"/>
                <w:sz w:val="20"/>
                <w:szCs w:val="20"/>
              </w:rPr>
              <w:t>Diastolic blood pressure</w:t>
            </w:r>
          </w:p>
        </w:tc>
        <w:tc>
          <w:tcPr>
            <w:tcMar>
              <w:top w:type="dxa" w:w="80"/>
              <w:left w:type="dxa" w:w="120"/>
              <w:bottom w:type="dxa" w:w="80"/>
              <w:right w:type="dxa" w:w="120"/>
            </w:tcMar>
            <w:tcBorders>
              <w:top w:val="single" w:sz="1" w:color="AAAAAA" w:space="0"/>
              <w:bottom w:val="single" w:sz="1" w:color="AAAAAA" w:space="0"/>
              <w:left w:val="single" w:sz="1" w:color="AAAAAA" w:space="0"/>
              <w:right w:val="single" w:sz="1" w:color="AAAAAA" w:space="0"/>
            </w:tcBorders>
            <w:shd w:fill="F5F5F5" w:val="clear"/>
            <w:tcW w:w="2600" w:type="dxa"/>
          </w:tcPr>
          <w:p>
            <w:r>
              <w:rPr>
                <w:bCs w:val="false"/>
                <w:b w:val="0"/>
                <w:color w:val="000000"/>
                <w:rFonts w:ascii="Arial" w:cs="Arial" w:eastAsia="Arial" w:hAnsi="Arial"/>
                <w:sz w:val="20"/>
                <w:szCs w:val="20"/>
              </w:rPr>
              <w:t>mmHg</w:t>
            </w:r>
          </w:p>
        </w:tc>
      </w:tr>
      <w:tr>
        <w:tc>
          <w:tcPr>
            <w:tcMar>
              <w:top w:type="dxa" w:w="80"/>
              <w:left w:type="dxa" w:w="120"/>
              <w:bottom w:type="dxa" w:w="80"/>
              <w:right w:type="dxa" w:w="120"/>
            </w:tcMar>
            <w:tcBorders>
              <w:top w:val="single" w:sz="1" w:color="AAAAAA" w:space="0"/>
              <w:bottom w:val="single" w:sz="1" w:color="AAAAAA" w:space="0"/>
              <w:left w:val="single" w:sz="1" w:color="AAAAAA" w:space="0"/>
              <w:right w:val="single" w:sz="1" w:color="AAAAAA" w:space="0"/>
            </w:tcBorders>
            <w:shd w:fill="F5F5F5" w:val="clear"/>
            <w:tcW w:w="2600" w:type="dxa"/>
          </w:tcPr>
          <w:p>
            <w:r>
              <w:rPr>
                <w:bCs w:val="false"/>
                <w:b w:val="0"/>
                <w:color w:val="000000"/>
                <w:rFonts w:ascii="Arial" w:cs="Arial" w:eastAsia="Arial" w:hAnsi="Arial"/>
                <w:sz w:val="20"/>
                <w:szCs w:val="20"/>
              </w:rPr>
              <w:t>SkinThickness</w:t>
            </w:r>
          </w:p>
        </w:tc>
        <w:tc>
          <w:tcPr>
            <w:tcMar>
              <w:top w:type="dxa" w:w="80"/>
              <w:left w:type="dxa" w:w="120"/>
              <w:bottom w:type="dxa" w:w="80"/>
              <w:right w:type="dxa" w:w="120"/>
            </w:tcMar>
            <w:tcBorders>
              <w:top w:val="single" w:sz="1" w:color="AAAAAA" w:space="0"/>
              <w:bottom w:val="single" w:sz="1" w:color="AAAAAA" w:space="0"/>
              <w:left w:val="single" w:sz="1" w:color="AAAAAA" w:space="0"/>
              <w:right w:val="single" w:sz="1" w:color="AAAAAA" w:space="0"/>
            </w:tcBorders>
            <w:shd w:fill="F5F5F5" w:val="clear"/>
            <w:tcW w:w="4160" w:type="dxa"/>
          </w:tcPr>
          <w:p>
            <w:r>
              <w:rPr>
                <w:bCs w:val="false"/>
                <w:b w:val="0"/>
                <w:color w:val="000000"/>
                <w:rFonts w:ascii="Arial" w:cs="Arial" w:eastAsia="Arial" w:hAnsi="Arial"/>
                <w:sz w:val="20"/>
                <w:szCs w:val="20"/>
              </w:rPr>
              <w:t>Triceps skin fold thickness</w:t>
            </w:r>
          </w:p>
        </w:tc>
        <w:tc>
          <w:tcPr>
            <w:tcMar>
              <w:top w:type="dxa" w:w="80"/>
              <w:left w:type="dxa" w:w="120"/>
              <w:bottom w:type="dxa" w:w="80"/>
              <w:right w:type="dxa" w:w="120"/>
            </w:tcMar>
            <w:tcBorders>
              <w:top w:val="single" w:sz="1" w:color="AAAAAA" w:space="0"/>
              <w:bottom w:val="single" w:sz="1" w:color="AAAAAA" w:space="0"/>
              <w:left w:val="single" w:sz="1" w:color="AAAAAA" w:space="0"/>
              <w:right w:val="single" w:sz="1" w:color="AAAAAA" w:space="0"/>
            </w:tcBorders>
            <w:shd w:fill="F5F5F5" w:val="clear"/>
            <w:tcW w:w="2600" w:type="dxa"/>
          </w:tcPr>
          <w:p>
            <w:r>
              <w:rPr>
                <w:bCs w:val="false"/>
                <w:b w:val="0"/>
                <w:color w:val="000000"/>
                <w:rFonts w:ascii="Arial" w:cs="Arial" w:eastAsia="Arial" w:hAnsi="Arial"/>
                <w:sz w:val="20"/>
                <w:szCs w:val="20"/>
              </w:rPr>
              <w:t>mm</w:t>
            </w:r>
          </w:p>
        </w:tc>
      </w:tr>
      <w:tr>
        <w:tc>
          <w:tcPr>
            <w:tcMar>
              <w:top w:type="dxa" w:w="80"/>
              <w:left w:type="dxa" w:w="120"/>
              <w:bottom w:type="dxa" w:w="80"/>
              <w:right w:type="dxa" w:w="120"/>
            </w:tcMar>
            <w:tcBorders>
              <w:top w:val="single" w:sz="1" w:color="AAAAAA" w:space="0"/>
              <w:bottom w:val="single" w:sz="1" w:color="AAAAAA" w:space="0"/>
              <w:left w:val="single" w:sz="1" w:color="AAAAAA" w:space="0"/>
              <w:right w:val="single" w:sz="1" w:color="AAAAAA" w:space="0"/>
            </w:tcBorders>
            <w:shd w:fill="F5F5F5" w:val="clear"/>
            <w:tcW w:w="2600" w:type="dxa"/>
          </w:tcPr>
          <w:p>
            <w:r>
              <w:rPr>
                <w:bCs w:val="false"/>
                <w:b w:val="0"/>
                <w:color w:val="000000"/>
                <w:rFonts w:ascii="Arial" w:cs="Arial" w:eastAsia="Arial" w:hAnsi="Arial"/>
                <w:sz w:val="20"/>
                <w:szCs w:val="20"/>
              </w:rPr>
              <w:t>Insulin</w:t>
            </w:r>
          </w:p>
        </w:tc>
        <w:tc>
          <w:tcPr>
            <w:tcMar>
              <w:top w:type="dxa" w:w="80"/>
              <w:left w:type="dxa" w:w="120"/>
              <w:bottom w:type="dxa" w:w="80"/>
              <w:right w:type="dxa" w:w="120"/>
            </w:tcMar>
            <w:tcBorders>
              <w:top w:val="single" w:sz="1" w:color="AAAAAA" w:space="0"/>
              <w:bottom w:val="single" w:sz="1" w:color="AAAAAA" w:space="0"/>
              <w:left w:val="single" w:sz="1" w:color="AAAAAA" w:space="0"/>
              <w:right w:val="single" w:sz="1" w:color="AAAAAA" w:space="0"/>
            </w:tcBorders>
            <w:shd w:fill="F5F5F5" w:val="clear"/>
            <w:tcW w:w="4160" w:type="dxa"/>
          </w:tcPr>
          <w:p>
            <w:r>
              <w:rPr>
                <w:bCs w:val="false"/>
                <w:b w:val="0"/>
                <w:color w:val="000000"/>
                <w:rFonts w:ascii="Arial" w:cs="Arial" w:eastAsia="Arial" w:hAnsi="Arial"/>
                <w:sz w:val="20"/>
                <w:szCs w:val="20"/>
              </w:rPr>
              <w:t>2-hour serum insulin</w:t>
            </w:r>
          </w:p>
        </w:tc>
        <w:tc>
          <w:tcPr>
            <w:tcMar>
              <w:top w:type="dxa" w:w="80"/>
              <w:left w:type="dxa" w:w="120"/>
              <w:bottom w:type="dxa" w:w="80"/>
              <w:right w:type="dxa" w:w="120"/>
            </w:tcMar>
            <w:tcBorders>
              <w:top w:val="single" w:sz="1" w:color="AAAAAA" w:space="0"/>
              <w:bottom w:val="single" w:sz="1" w:color="AAAAAA" w:space="0"/>
              <w:left w:val="single" w:sz="1" w:color="AAAAAA" w:space="0"/>
              <w:right w:val="single" w:sz="1" w:color="AAAAAA" w:space="0"/>
            </w:tcBorders>
            <w:shd w:fill="F5F5F5" w:val="clear"/>
            <w:tcW w:w="2600" w:type="dxa"/>
          </w:tcPr>
          <w:p>
            <w:r>
              <w:rPr>
                <w:bCs w:val="false"/>
                <w:b w:val="0"/>
                <w:color w:val="000000"/>
                <w:rFonts w:ascii="Arial" w:cs="Arial" w:eastAsia="Arial" w:hAnsi="Arial"/>
                <w:sz w:val="20"/>
                <w:szCs w:val="20"/>
              </w:rPr>
              <w:t>mu U/ml</w:t>
            </w:r>
          </w:p>
        </w:tc>
      </w:tr>
      <w:tr>
        <w:tc>
          <w:tcPr>
            <w:tcMar>
              <w:top w:type="dxa" w:w="80"/>
              <w:left w:type="dxa" w:w="120"/>
              <w:bottom w:type="dxa" w:w="80"/>
              <w:right w:type="dxa" w:w="120"/>
            </w:tcMar>
            <w:tcBorders>
              <w:top w:val="single" w:sz="1" w:color="AAAAAA" w:space="0"/>
              <w:bottom w:val="single" w:sz="1" w:color="AAAAAA" w:space="0"/>
              <w:left w:val="single" w:sz="1" w:color="AAAAAA" w:space="0"/>
              <w:right w:val="single" w:sz="1" w:color="AAAAAA" w:space="0"/>
            </w:tcBorders>
            <w:shd w:fill="F5F5F5" w:val="clear"/>
            <w:tcW w:w="2600" w:type="dxa"/>
          </w:tcPr>
          <w:p>
            <w:r>
              <w:rPr>
                <w:bCs w:val="false"/>
                <w:b w:val="0"/>
                <w:color w:val="000000"/>
                <w:rFonts w:ascii="Arial" w:cs="Arial" w:eastAsia="Arial" w:hAnsi="Arial"/>
                <w:sz w:val="20"/>
                <w:szCs w:val="20"/>
              </w:rPr>
              <w:t>BMI</w:t>
            </w:r>
          </w:p>
        </w:tc>
        <w:tc>
          <w:tcPr>
            <w:tcMar>
              <w:top w:type="dxa" w:w="80"/>
              <w:left w:type="dxa" w:w="120"/>
              <w:bottom w:type="dxa" w:w="80"/>
              <w:right w:type="dxa" w:w="120"/>
            </w:tcMar>
            <w:tcBorders>
              <w:top w:val="single" w:sz="1" w:color="AAAAAA" w:space="0"/>
              <w:bottom w:val="single" w:sz="1" w:color="AAAAAA" w:space="0"/>
              <w:left w:val="single" w:sz="1" w:color="AAAAAA" w:space="0"/>
              <w:right w:val="single" w:sz="1" w:color="AAAAAA" w:space="0"/>
            </w:tcBorders>
            <w:shd w:fill="F5F5F5" w:val="clear"/>
            <w:tcW w:w="4160" w:type="dxa"/>
          </w:tcPr>
          <w:p>
            <w:r>
              <w:rPr>
                <w:bCs w:val="false"/>
                <w:b w:val="0"/>
                <w:color w:val="000000"/>
                <w:rFonts w:ascii="Arial" w:cs="Arial" w:eastAsia="Arial" w:hAnsi="Arial"/>
                <w:sz w:val="20"/>
                <w:szCs w:val="20"/>
              </w:rPr>
              <w:t>Body mass index (weight/height²)</w:t>
            </w:r>
          </w:p>
        </w:tc>
        <w:tc>
          <w:tcPr>
            <w:tcMar>
              <w:top w:type="dxa" w:w="80"/>
              <w:left w:type="dxa" w:w="120"/>
              <w:bottom w:type="dxa" w:w="80"/>
              <w:right w:type="dxa" w:w="120"/>
            </w:tcMar>
            <w:tcBorders>
              <w:top w:val="single" w:sz="1" w:color="AAAAAA" w:space="0"/>
              <w:bottom w:val="single" w:sz="1" w:color="AAAAAA" w:space="0"/>
              <w:left w:val="single" w:sz="1" w:color="AAAAAA" w:space="0"/>
              <w:right w:val="single" w:sz="1" w:color="AAAAAA" w:space="0"/>
            </w:tcBorders>
            <w:shd w:fill="F5F5F5" w:val="clear"/>
            <w:tcW w:w="2600" w:type="dxa"/>
          </w:tcPr>
          <w:p>
            <w:r>
              <w:rPr>
                <w:bCs w:val="false"/>
                <w:b w:val="0"/>
                <w:color w:val="000000"/>
                <w:rFonts w:ascii="Arial" w:cs="Arial" w:eastAsia="Arial" w:hAnsi="Arial"/>
                <w:sz w:val="20"/>
                <w:szCs w:val="20"/>
              </w:rPr>
              <w:t>kg/m²</w:t>
            </w:r>
          </w:p>
        </w:tc>
      </w:tr>
      <w:tr>
        <w:tc>
          <w:tcPr>
            <w:tcMar>
              <w:top w:type="dxa" w:w="80"/>
              <w:left w:type="dxa" w:w="120"/>
              <w:bottom w:type="dxa" w:w="80"/>
              <w:right w:type="dxa" w:w="120"/>
            </w:tcMar>
            <w:tcBorders>
              <w:top w:val="single" w:sz="1" w:color="AAAAAA" w:space="0"/>
              <w:bottom w:val="single" w:sz="1" w:color="AAAAAA" w:space="0"/>
              <w:left w:val="single" w:sz="1" w:color="AAAAAA" w:space="0"/>
              <w:right w:val="single" w:sz="1" w:color="AAAAAA" w:space="0"/>
            </w:tcBorders>
            <w:shd w:fill="F5F5F5" w:val="clear"/>
            <w:tcW w:w="2600" w:type="dxa"/>
          </w:tcPr>
          <w:p>
            <w:r>
              <w:rPr>
                <w:bCs w:val="false"/>
                <w:b w:val="0"/>
                <w:color w:val="000000"/>
                <w:rFonts w:ascii="Arial" w:cs="Arial" w:eastAsia="Arial" w:hAnsi="Arial"/>
                <w:sz w:val="20"/>
                <w:szCs w:val="20"/>
              </w:rPr>
              <w:t>DiabetesPedigreeFunction</w:t>
            </w:r>
          </w:p>
        </w:tc>
        <w:tc>
          <w:tcPr>
            <w:tcMar>
              <w:top w:type="dxa" w:w="80"/>
              <w:left w:type="dxa" w:w="120"/>
              <w:bottom w:type="dxa" w:w="80"/>
              <w:right w:type="dxa" w:w="120"/>
            </w:tcMar>
            <w:tcBorders>
              <w:top w:val="single" w:sz="1" w:color="AAAAAA" w:space="0"/>
              <w:bottom w:val="single" w:sz="1" w:color="AAAAAA" w:space="0"/>
              <w:left w:val="single" w:sz="1" w:color="AAAAAA" w:space="0"/>
              <w:right w:val="single" w:sz="1" w:color="AAAAAA" w:space="0"/>
            </w:tcBorders>
            <w:shd w:fill="F5F5F5" w:val="clear"/>
            <w:tcW w:w="4160" w:type="dxa"/>
          </w:tcPr>
          <w:p>
            <w:r>
              <w:rPr>
                <w:bCs w:val="false"/>
                <w:b w:val="0"/>
                <w:color w:val="000000"/>
                <w:rFonts w:ascii="Arial" w:cs="Arial" w:eastAsia="Arial" w:hAnsi="Arial"/>
                <w:sz w:val="20"/>
                <w:szCs w:val="20"/>
              </w:rPr>
              <w:t>Genetic risk score based on family history</w:t>
            </w:r>
          </w:p>
        </w:tc>
        <w:tc>
          <w:tcPr>
            <w:tcMar>
              <w:top w:type="dxa" w:w="80"/>
              <w:left w:type="dxa" w:w="120"/>
              <w:bottom w:type="dxa" w:w="80"/>
              <w:right w:type="dxa" w:w="120"/>
            </w:tcMar>
            <w:tcBorders>
              <w:top w:val="single" w:sz="1" w:color="AAAAAA" w:space="0"/>
              <w:bottom w:val="single" w:sz="1" w:color="AAAAAA" w:space="0"/>
              <w:left w:val="single" w:sz="1" w:color="AAAAAA" w:space="0"/>
              <w:right w:val="single" w:sz="1" w:color="AAAAAA" w:space="0"/>
            </w:tcBorders>
            <w:shd w:fill="F5F5F5" w:val="clear"/>
            <w:tcW w:w="2600" w:type="dxa"/>
          </w:tcPr>
          <w:p>
            <w:r>
              <w:rPr>
                <w:bCs w:val="false"/>
                <w:b w:val="0"/>
                <w:color w:val="000000"/>
                <w:rFonts w:ascii="Arial" w:cs="Arial" w:eastAsia="Arial" w:hAnsi="Arial"/>
                <w:sz w:val="20"/>
                <w:szCs w:val="20"/>
              </w:rPr>
              <w:t>Score</w:t>
            </w:r>
          </w:p>
        </w:tc>
      </w:tr>
      <w:tr>
        <w:tc>
          <w:tcPr>
            <w:tcMar>
              <w:top w:type="dxa" w:w="80"/>
              <w:left w:type="dxa" w:w="120"/>
              <w:bottom w:type="dxa" w:w="80"/>
              <w:right w:type="dxa" w:w="120"/>
            </w:tcMar>
            <w:tcBorders>
              <w:top w:val="single" w:sz="1" w:color="AAAAAA" w:space="0"/>
              <w:bottom w:val="single" w:sz="1" w:color="AAAAAA" w:space="0"/>
              <w:left w:val="single" w:sz="1" w:color="AAAAAA" w:space="0"/>
              <w:right w:val="single" w:sz="1" w:color="AAAAAA" w:space="0"/>
            </w:tcBorders>
            <w:shd w:fill="F5F5F5" w:val="clear"/>
            <w:tcW w:w="2600" w:type="dxa"/>
          </w:tcPr>
          <w:p>
            <w:r>
              <w:rPr>
                <w:bCs w:val="false"/>
                <w:b w:val="0"/>
                <w:color w:val="000000"/>
                <w:rFonts w:ascii="Arial" w:cs="Arial" w:eastAsia="Arial" w:hAnsi="Arial"/>
                <w:sz w:val="20"/>
                <w:szCs w:val="20"/>
              </w:rPr>
              <w:t>Age</w:t>
            </w:r>
          </w:p>
        </w:tc>
        <w:tc>
          <w:tcPr>
            <w:tcMar>
              <w:top w:type="dxa" w:w="80"/>
              <w:left w:type="dxa" w:w="120"/>
              <w:bottom w:type="dxa" w:w="80"/>
              <w:right w:type="dxa" w:w="120"/>
            </w:tcMar>
            <w:tcBorders>
              <w:top w:val="single" w:sz="1" w:color="AAAAAA" w:space="0"/>
              <w:bottom w:val="single" w:sz="1" w:color="AAAAAA" w:space="0"/>
              <w:left w:val="single" w:sz="1" w:color="AAAAAA" w:space="0"/>
              <w:right w:val="single" w:sz="1" w:color="AAAAAA" w:space="0"/>
            </w:tcBorders>
            <w:shd w:fill="F5F5F5" w:val="clear"/>
            <w:tcW w:w="4160" w:type="dxa"/>
          </w:tcPr>
          <w:p>
            <w:r>
              <w:rPr>
                <w:bCs w:val="false"/>
                <w:b w:val="0"/>
                <w:color w:val="000000"/>
                <w:rFonts w:ascii="Arial" w:cs="Arial" w:eastAsia="Arial" w:hAnsi="Arial"/>
                <w:sz w:val="20"/>
                <w:szCs w:val="20"/>
              </w:rPr>
              <w:t>Age of the patient</w:t>
            </w:r>
          </w:p>
        </w:tc>
        <w:tc>
          <w:tcPr>
            <w:tcMar>
              <w:top w:type="dxa" w:w="80"/>
              <w:left w:type="dxa" w:w="120"/>
              <w:bottom w:type="dxa" w:w="80"/>
              <w:right w:type="dxa" w:w="120"/>
            </w:tcMar>
            <w:tcBorders>
              <w:top w:val="single" w:sz="1" w:color="AAAAAA" w:space="0"/>
              <w:bottom w:val="single" w:sz="1" w:color="AAAAAA" w:space="0"/>
              <w:left w:val="single" w:sz="1" w:color="AAAAAA" w:space="0"/>
              <w:right w:val="single" w:sz="1" w:color="AAAAAA" w:space="0"/>
            </w:tcBorders>
            <w:shd w:fill="F5F5F5" w:val="clear"/>
            <w:tcW w:w="2600" w:type="dxa"/>
          </w:tcPr>
          <w:p>
            <w:r>
              <w:rPr>
                <w:bCs w:val="false"/>
                <w:b w:val="0"/>
                <w:color w:val="000000"/>
                <w:rFonts w:ascii="Arial" w:cs="Arial" w:eastAsia="Arial" w:hAnsi="Arial"/>
                <w:sz w:val="20"/>
                <w:szCs w:val="20"/>
              </w:rPr>
              <w:t>Years</w:t>
            </w:r>
          </w:p>
        </w:tc>
      </w:tr>
      <w:tr>
        <w:tc>
          <w:tcPr>
            <w:tcMar>
              <w:top w:type="dxa" w:w="80"/>
              <w:left w:type="dxa" w:w="120"/>
              <w:bottom w:type="dxa" w:w="80"/>
              <w:right w:type="dxa" w:w="120"/>
            </w:tcMar>
            <w:tcBorders>
              <w:top w:val="single" w:sz="1" w:color="AAAAAA" w:space="0"/>
              <w:bottom w:val="single" w:sz="1" w:color="AAAAAA" w:space="0"/>
              <w:left w:val="single" w:sz="1" w:color="AAAAAA" w:space="0"/>
              <w:right w:val="single" w:sz="1" w:color="AAAAAA" w:space="0"/>
            </w:tcBorders>
            <w:shd w:fill="F5F5F5" w:val="clear"/>
            <w:tcW w:w="2600" w:type="dxa"/>
          </w:tcPr>
          <w:p>
            <w:r>
              <w:rPr>
                <w:bCs w:val="false"/>
                <w:b w:val="0"/>
                <w:color w:val="000000"/>
                <w:rFonts w:ascii="Arial" w:cs="Arial" w:eastAsia="Arial" w:hAnsi="Arial"/>
                <w:sz w:val="20"/>
                <w:szCs w:val="20"/>
              </w:rPr>
              <w:t>Outcome</w:t>
            </w:r>
          </w:p>
        </w:tc>
        <w:tc>
          <w:tcPr>
            <w:tcMar>
              <w:top w:type="dxa" w:w="80"/>
              <w:left w:type="dxa" w:w="120"/>
              <w:bottom w:type="dxa" w:w="80"/>
              <w:right w:type="dxa" w:w="120"/>
            </w:tcMar>
            <w:tcBorders>
              <w:top w:val="single" w:sz="1" w:color="AAAAAA" w:space="0"/>
              <w:bottom w:val="single" w:sz="1" w:color="AAAAAA" w:space="0"/>
              <w:left w:val="single" w:sz="1" w:color="AAAAAA" w:space="0"/>
              <w:right w:val="single" w:sz="1" w:color="AAAAAA" w:space="0"/>
            </w:tcBorders>
            <w:shd w:fill="F5F5F5" w:val="clear"/>
            <w:tcW w:w="4160" w:type="dxa"/>
          </w:tcPr>
          <w:p>
            <w:r>
              <w:rPr>
                <w:bCs w:val="false"/>
                <w:b w:val="0"/>
                <w:color w:val="000000"/>
                <w:rFonts w:ascii="Arial" w:cs="Arial" w:eastAsia="Arial" w:hAnsi="Arial"/>
                <w:sz w:val="20"/>
                <w:szCs w:val="20"/>
              </w:rPr>
              <w:t>Target: 0 = No Diabetes, 1 = Diabetes</w:t>
            </w:r>
          </w:p>
        </w:tc>
        <w:tc>
          <w:tcPr>
            <w:tcMar>
              <w:top w:type="dxa" w:w="80"/>
              <w:left w:type="dxa" w:w="120"/>
              <w:bottom w:type="dxa" w:w="80"/>
              <w:right w:type="dxa" w:w="120"/>
            </w:tcMar>
            <w:tcBorders>
              <w:top w:val="single" w:sz="1" w:color="AAAAAA" w:space="0"/>
              <w:bottom w:val="single" w:sz="1" w:color="AAAAAA" w:space="0"/>
              <w:left w:val="single" w:sz="1" w:color="AAAAAA" w:space="0"/>
              <w:right w:val="single" w:sz="1" w:color="AAAAAA" w:space="0"/>
            </w:tcBorders>
            <w:shd w:fill="F5F5F5" w:val="clear"/>
            <w:tcW w:w="2600" w:type="dxa"/>
          </w:tcPr>
          <w:p>
            <w:r>
              <w:rPr>
                <w:bCs w:val="false"/>
                <w:b w:val="0"/>
                <w:color w:val="000000"/>
                <w:rFonts w:ascii="Arial" w:cs="Arial" w:eastAsia="Arial" w:hAnsi="Arial"/>
                <w:sz w:val="20"/>
                <w:szCs w:val="20"/>
              </w:rPr>
              <w:t>Binary</w:t>
            </w:r>
          </w:p>
        </w:tc>
      </w:tr>
    </w:tbl>
    <w:p>
      <w:pPr>
        <w:spacing w:before="0" w:after="0"/>
      </w:pPr>
      <w:r/>
    </w:p>
    <w:p>
      <w:pPr>
        <w:pageBreakBefore/>
      </w:pPr>
      <w:r>
        <w:br/>
      </w:r>
    </w:p>
    <w:p>
      <w:pPr>
        <w:pStyle w:val="Heading1"/>
        <w:spacing w:before="320" w:after="160"/>
      </w:pPr>
      <w:r>
        <w:rPr>
          <w:bCs/>
          <w:b/>
          <w:color w:val="1F497D"/>
          <w:rFonts w:ascii="Arial" w:cs="Arial" w:eastAsia="Arial" w:hAnsi="Arial"/>
          <w:sz w:val="32"/>
          <w:szCs w:val="32"/>
        </w:rPr>
        <w:t>3. Data Preprocessing</w:t>
      </w:r>
    </w:p>
    <w:p>
      <w:pPr>
        <w:spacing w:before="60" w:after="60" w:line="320" w:lineRule="auto"/>
      </w:pPr>
      <w:r>
        <w:rPr>
          <w:rFonts w:ascii="Arial" w:cs="Arial" w:eastAsia="Arial" w:hAnsi="Arial"/>
          <w:sz w:val="22"/>
          <w:szCs w:val="22"/>
        </w:rPr>
        <w:t>Real-world datasets often contain noise, errors, or placeholder values. The PIMA dataset uses zeros (0) to represent missing values in columns where zero is physiologically impossible. These were addressed before model training.</w:t>
      </w:r>
    </w:p>
    <w:p>
      <w:pPr>
        <w:pStyle w:val="Heading2"/>
        <w:spacing w:before="200" w:after="100"/>
      </w:pPr>
      <w:r>
        <w:rPr>
          <w:bCs/>
          <w:b/>
          <w:color w:val="2E75B6"/>
          <w:rFonts w:ascii="Arial" w:cs="Arial" w:eastAsia="Arial" w:hAnsi="Arial"/>
          <w:sz w:val="26"/>
          <w:szCs w:val="26"/>
        </w:rPr>
        <w:t>3.1 Handling Zero Values</w:t>
      </w:r>
    </w:p>
    <w:p>
      <w:pPr>
        <w:spacing w:before="60" w:after="60" w:line="320" w:lineRule="auto"/>
      </w:pPr>
      <w:r>
        <w:rPr>
          <w:rFonts w:ascii="Arial" w:cs="Arial" w:eastAsia="Arial" w:hAnsi="Arial"/>
          <w:sz w:val="22"/>
          <w:szCs w:val="22"/>
        </w:rPr>
        <w:t>The following five columns contain zeros that represent missing data rather than true zero values:</w:t>
      </w:r>
    </w:p>
    <w:p>
      <w:pPr>
        <w:pStyle w:val="ListParagraph"/>
        <w:numPr>
          <w:ilvl w:val="0"/>
          <w:numId w:val="2"/>
        </w:numPr>
        <w:spacing w:before="40" w:after="40"/>
      </w:pPr>
      <w:r>
        <w:rPr>
          <w:rFonts w:ascii="Arial" w:cs="Arial" w:eastAsia="Arial" w:hAnsi="Arial"/>
          <w:sz w:val="22"/>
          <w:szCs w:val="22"/>
        </w:rPr>
        <w:t>Glucose — a fasting glucose of 0 is not physiologically possible.</w:t>
      </w:r>
    </w:p>
    <w:p>
      <w:pPr>
        <w:pStyle w:val="ListParagraph"/>
        <w:numPr>
          <w:ilvl w:val="0"/>
          <w:numId w:val="2"/>
        </w:numPr>
        <w:spacing w:before="40" w:after="40"/>
      </w:pPr>
      <w:r>
        <w:rPr>
          <w:rFonts w:ascii="Arial" w:cs="Arial" w:eastAsia="Arial" w:hAnsi="Arial"/>
          <w:sz w:val="22"/>
          <w:szCs w:val="22"/>
        </w:rPr>
        <w:t>BloodPressure — a blood pressure of 0 indicates a missing reading.</w:t>
      </w:r>
    </w:p>
    <w:p>
      <w:pPr>
        <w:pStyle w:val="ListParagraph"/>
        <w:numPr>
          <w:ilvl w:val="0"/>
          <w:numId w:val="2"/>
        </w:numPr>
        <w:spacing w:before="40" w:after="40"/>
      </w:pPr>
      <w:r>
        <w:rPr>
          <w:rFonts w:ascii="Arial" w:cs="Arial" w:eastAsia="Arial" w:hAnsi="Arial"/>
          <w:sz w:val="22"/>
          <w:szCs w:val="22"/>
        </w:rPr>
        <w:t>SkinThickness — skin fold thickness cannot be zero.</w:t>
      </w:r>
    </w:p>
    <w:p>
      <w:pPr>
        <w:pStyle w:val="ListParagraph"/>
        <w:numPr>
          <w:ilvl w:val="0"/>
          <w:numId w:val="2"/>
        </w:numPr>
        <w:spacing w:before="40" w:after="40"/>
      </w:pPr>
      <w:r>
        <w:rPr>
          <w:rFonts w:ascii="Arial" w:cs="Arial" w:eastAsia="Arial" w:hAnsi="Arial"/>
          <w:sz w:val="22"/>
          <w:szCs w:val="22"/>
        </w:rPr>
        <w:t>Insulin — a serum insulin of 0 is biologically implausible.</w:t>
      </w:r>
    </w:p>
    <w:p>
      <w:pPr>
        <w:pStyle w:val="ListParagraph"/>
        <w:numPr>
          <w:ilvl w:val="0"/>
          <w:numId w:val="2"/>
        </w:numPr>
        <w:spacing w:before="40" w:after="40"/>
      </w:pPr>
      <w:r>
        <w:rPr>
          <w:rFonts w:ascii="Arial" w:cs="Arial" w:eastAsia="Arial" w:hAnsi="Arial"/>
          <w:sz w:val="22"/>
          <w:szCs w:val="22"/>
        </w:rPr>
        <w:t>BMI — a BMI of 0 would mean the patient has no weight.</w:t>
      </w:r>
    </w:p>
    <w:p>
      <w:pPr>
        <w:spacing w:before="0" w:after="0"/>
      </w:pPr>
      <w:r/>
    </w:p>
    <w:p>
      <w:pPr>
        <w:spacing w:before="60" w:after="60" w:line="320" w:lineRule="auto"/>
      </w:pPr>
      <w:r>
        <w:rPr>
          <w:rFonts w:ascii="Arial" w:cs="Arial" w:eastAsia="Arial" w:hAnsi="Arial"/>
          <w:sz w:val="22"/>
          <w:szCs w:val="22"/>
        </w:rPr>
        <w:t>These zeros were replaced with NaN (Not a Number) and then imputed using the column median. The median was chosen over the mean because it is more robust to outliers, which are common in medical datasets.</w:t>
      </w:r>
    </w:p>
    <w:p>
      <w:pPr>
        <w:pStyle w:val="Heading2"/>
        <w:spacing w:before="200" w:after="100"/>
      </w:pPr>
      <w:r>
        <w:rPr>
          <w:bCs/>
          <w:b/>
          <w:color w:val="2E75B6"/>
          <w:rFonts w:ascii="Arial" w:cs="Arial" w:eastAsia="Arial" w:hAnsi="Arial"/>
          <w:sz w:val="26"/>
          <w:szCs w:val="26"/>
        </w:rPr>
        <w:t>3.2 Feature Scaling</w:t>
      </w:r>
    </w:p>
    <w:p>
      <w:pPr>
        <w:spacing w:before="60" w:after="60" w:line="320" w:lineRule="auto"/>
      </w:pPr>
      <w:r>
        <w:rPr>
          <w:rFonts w:ascii="Arial" w:cs="Arial" w:eastAsia="Arial" w:hAnsi="Arial"/>
          <w:sz w:val="22"/>
          <w:szCs w:val="22"/>
        </w:rPr>
        <w:t>All feature values were standardized using StandardScaler from scikit-learn, which transforms each feature to have a mean of 0 and a standard deviation of 1. Scaling is important for Logistic Regression, which is sensitive to the magnitude of input features. Decision Trees and Random Forests are scale-invariant, but scaling was applied uniformly for consistency.</w:t>
      </w:r>
    </w:p>
    <w:p>
      <w:pPr>
        <w:pStyle w:val="Heading2"/>
        <w:spacing w:before="200" w:after="100"/>
      </w:pPr>
      <w:r>
        <w:rPr>
          <w:bCs/>
          <w:b/>
          <w:color w:val="2E75B6"/>
          <w:rFonts w:ascii="Arial" w:cs="Arial" w:eastAsia="Arial" w:hAnsi="Arial"/>
          <w:sz w:val="26"/>
          <w:szCs w:val="26"/>
        </w:rPr>
        <w:t>3.3 Train-Test Split</w:t>
      </w:r>
    </w:p>
    <w:p>
      <w:pPr>
        <w:spacing w:before="60" w:after="60" w:line="320" w:lineRule="auto"/>
      </w:pPr>
      <w:r>
        <w:rPr>
          <w:rFonts w:ascii="Arial" w:cs="Arial" w:eastAsia="Arial" w:hAnsi="Arial"/>
          <w:sz w:val="22"/>
          <w:szCs w:val="22"/>
        </w:rPr>
        <w:t>The dataset was split into 80% training data (614 records) and 20% test data (154 records) using stratified sampling to maintain the same class ratio in both sets. A fixed random seed (42) was used for reproducibility.</w:t>
      </w:r>
    </w:p>
    <w:p>
      <w:pPr>
        <w:pageBreakBefore/>
      </w:pPr>
      <w:r>
        <w:br/>
      </w:r>
    </w:p>
    <w:p>
      <w:pPr>
        <w:pStyle w:val="Heading1"/>
        <w:spacing w:before="320" w:after="160"/>
      </w:pPr>
      <w:r>
        <w:rPr>
          <w:bCs/>
          <w:b/>
          <w:color w:val="1F497D"/>
          <w:rFonts w:ascii="Arial" w:cs="Arial" w:eastAsia="Arial" w:hAnsi="Arial"/>
          <w:sz w:val="32"/>
          <w:szCs w:val="32"/>
        </w:rPr>
        <w:t>4. Exploratory Data Analysis (EDA)</w:t>
      </w:r>
    </w:p>
    <w:p>
      <w:pPr>
        <w:spacing w:before="60" w:after="60" w:line="320" w:lineRule="auto"/>
      </w:pPr>
      <w:r>
        <w:rPr>
          <w:rFonts w:ascii="Arial" w:cs="Arial" w:eastAsia="Arial" w:hAnsi="Arial"/>
          <w:sz w:val="22"/>
          <w:szCs w:val="22"/>
        </w:rPr>
        <w:t>Before training models, an exploratory analysis was performed to understand the data distribution, feature relationships, and class balance.</w:t>
      </w:r>
    </w:p>
    <w:p>
      <w:pPr>
        <w:pStyle w:val="Heading2"/>
        <w:spacing w:before="200" w:after="100"/>
      </w:pPr>
      <w:r>
        <w:rPr>
          <w:bCs/>
          <w:b/>
          <w:color w:val="2E75B6"/>
          <w:rFonts w:ascii="Arial" w:cs="Arial" w:eastAsia="Arial" w:hAnsi="Arial"/>
          <w:sz w:val="26"/>
          <w:szCs w:val="26"/>
        </w:rPr>
        <w:t>4.1 Class Distribution</w:t>
      </w:r>
    </w:p>
    <w:p>
      <w:pPr>
        <w:spacing w:before="60" w:after="60" w:line="320" w:lineRule="auto"/>
      </w:pPr>
      <w:r>
        <w:rPr>
          <w:rFonts w:ascii="Arial" w:cs="Arial" w:eastAsia="Arial" w:hAnsi="Arial"/>
          <w:sz w:val="22"/>
          <w:szCs w:val="22"/>
        </w:rPr>
        <w:t>The dataset is moderately imbalanced, with approximately 65% of patients being non-diabetic and 35% being diabetic. While this imbalance is not extreme, it is important to consider when evaluating models. For this project, standard accuracy is reported alongside ROC-AUC, which accounts for class imbalance more effectively.</w:t>
      </w:r>
    </w:p>
    <w:p>
      <w:pPr>
        <w:pStyle w:val="Heading2"/>
        <w:spacing w:before="200" w:after="100"/>
      </w:pPr>
      <w:r>
        <w:rPr>
          <w:bCs/>
          <w:b/>
          <w:color w:val="2E75B6"/>
          <w:rFonts w:ascii="Arial" w:cs="Arial" w:eastAsia="Arial" w:hAnsi="Arial"/>
          <w:sz w:val="26"/>
          <w:szCs w:val="26"/>
        </w:rPr>
        <w:t>4.2 Feature Correlation</w:t>
      </w:r>
    </w:p>
    <w:p>
      <w:pPr>
        <w:spacing w:before="60" w:after="60" w:line="320" w:lineRule="auto"/>
      </w:pPr>
      <w:r>
        <w:rPr>
          <w:rFonts w:ascii="Arial" w:cs="Arial" w:eastAsia="Arial" w:hAnsi="Arial"/>
          <w:sz w:val="22"/>
          <w:szCs w:val="22"/>
        </w:rPr>
        <w:t>A correlation heatmap was generated to identify which features are most strongly associated with the Outcome (diabetes). Key observations:</w:t>
      </w:r>
    </w:p>
    <w:p>
      <w:pPr>
        <w:pStyle w:val="ListParagraph"/>
        <w:numPr>
          <w:ilvl w:val="0"/>
          <w:numId w:val="2"/>
        </w:numPr>
        <w:spacing w:before="40" w:after="40"/>
      </w:pPr>
      <w:r>
        <w:rPr>
          <w:rFonts w:ascii="Arial" w:cs="Arial" w:eastAsia="Arial" w:hAnsi="Arial"/>
          <w:sz w:val="22"/>
          <w:szCs w:val="22"/>
        </w:rPr>
        <w:t>Glucose shows the strongest positive correlation with the Outcome (~0.49), confirming its clinical importance as a primary diabetes indicator.</w:t>
      </w:r>
    </w:p>
    <w:p>
      <w:pPr>
        <w:pStyle w:val="ListParagraph"/>
        <w:numPr>
          <w:ilvl w:val="0"/>
          <w:numId w:val="2"/>
        </w:numPr>
        <w:spacing w:before="40" w:after="40"/>
      </w:pPr>
      <w:r>
        <w:rPr>
          <w:rFonts w:ascii="Arial" w:cs="Arial" w:eastAsia="Arial" w:hAnsi="Arial"/>
          <w:sz w:val="22"/>
          <w:szCs w:val="22"/>
        </w:rPr>
        <w:t>BMI and Age also show moderate positive correlations (~0.29 and ~0.24 respectively).</w:t>
      </w:r>
    </w:p>
    <w:p>
      <w:pPr>
        <w:pStyle w:val="ListParagraph"/>
        <w:numPr>
          <w:ilvl w:val="0"/>
          <w:numId w:val="2"/>
        </w:numPr>
        <w:spacing w:before="40" w:after="40"/>
      </w:pPr>
      <w:r>
        <w:rPr>
          <w:rFonts w:ascii="Arial" w:cs="Arial" w:eastAsia="Arial" w:hAnsi="Arial"/>
          <w:sz w:val="22"/>
          <w:szCs w:val="22"/>
        </w:rPr>
        <w:t>DiabetesPedigreeFunction has a moderate correlation, reflecting the role of genetic factors.</w:t>
      </w:r>
    </w:p>
    <w:p>
      <w:pPr>
        <w:pStyle w:val="ListParagraph"/>
        <w:numPr>
          <w:ilvl w:val="0"/>
          <w:numId w:val="2"/>
        </w:numPr>
        <w:spacing w:before="40" w:after="40"/>
      </w:pPr>
      <w:r>
        <w:rPr>
          <w:rFonts w:ascii="Arial" w:cs="Arial" w:eastAsia="Arial" w:hAnsi="Arial"/>
          <w:sz w:val="22"/>
          <w:szCs w:val="22"/>
        </w:rPr>
        <w:t>SkinThickness and Insulin are less correlated, possibly due to the high proportion of missing values replaced by medians.</w:t>
      </w:r>
    </w:p>
    <w:p>
      <w:pPr>
        <w:pStyle w:val="Heading2"/>
        <w:spacing w:before="200" w:after="100"/>
      </w:pPr>
      <w:r>
        <w:rPr>
          <w:bCs/>
          <w:b/>
          <w:color w:val="2E75B6"/>
          <w:rFonts w:ascii="Arial" w:cs="Arial" w:eastAsia="Arial" w:hAnsi="Arial"/>
          <w:sz w:val="26"/>
          <w:szCs w:val="26"/>
        </w:rPr>
        <w:t>4.3 Key Feature Distributions</w:t>
      </w:r>
    </w:p>
    <w:p>
      <w:pPr>
        <w:spacing w:before="60" w:after="60" w:line="320" w:lineRule="auto"/>
      </w:pPr>
      <w:r>
        <w:rPr>
          <w:rFonts w:ascii="Arial" w:cs="Arial" w:eastAsia="Arial" w:hAnsi="Arial"/>
          <w:sz w:val="22"/>
          <w:szCs w:val="22"/>
        </w:rPr>
        <w:t>Histograms of key features (Glucose, BMI, Age, Insulin) were plotted separately for diabetic and non-diabetic patients. Diabetic patients generally show higher glucose levels, higher BMI values, and older age compared to non-diabetic patients. These patterns align with established medical knowledge about diabetes risk factors.</w:t>
      </w:r>
    </w:p>
    <w:p>
      <w:pPr>
        <w:pageBreakBefore/>
      </w:pPr>
      <w:r>
        <w:br/>
      </w:r>
    </w:p>
    <w:p>
      <w:pPr>
        <w:pStyle w:val="Heading1"/>
        <w:spacing w:before="320" w:after="160"/>
      </w:pPr>
      <w:r>
        <w:rPr>
          <w:bCs/>
          <w:b/>
          <w:color w:val="1F497D"/>
          <w:rFonts w:ascii="Arial" w:cs="Arial" w:eastAsia="Arial" w:hAnsi="Arial"/>
          <w:sz w:val="32"/>
          <w:szCs w:val="32"/>
        </w:rPr>
        <w:t>5. Methodology</w:t>
      </w:r>
    </w:p>
    <w:p>
      <w:pPr>
        <w:spacing w:before="60" w:after="60" w:line="320" w:lineRule="auto"/>
      </w:pPr>
      <w:r>
        <w:rPr>
          <w:rFonts w:ascii="Arial" w:cs="Arial" w:eastAsia="Arial" w:hAnsi="Arial"/>
          <w:sz w:val="22"/>
          <w:szCs w:val="22"/>
        </w:rPr>
        <w:t>Three standard supervised learning algorithms were selected for this project. These algorithms represent different levels of complexity and interpretability, making them suitable for a comparative study.</w:t>
      </w:r>
    </w:p>
    <w:p>
      <w:pPr>
        <w:pStyle w:val="Heading2"/>
        <w:spacing w:before="200" w:after="100"/>
      </w:pPr>
      <w:r>
        <w:rPr>
          <w:bCs/>
          <w:b/>
          <w:color w:val="2E75B6"/>
          <w:rFonts w:ascii="Arial" w:cs="Arial" w:eastAsia="Arial" w:hAnsi="Arial"/>
          <w:sz w:val="26"/>
          <w:szCs w:val="26"/>
        </w:rPr>
        <w:t>5.1 Logistic Regression</w:t>
      </w:r>
    </w:p>
    <w:p>
      <w:pPr>
        <w:spacing w:before="60" w:after="60" w:line="320" w:lineRule="auto"/>
      </w:pPr>
      <w:r>
        <w:rPr>
          <w:rFonts w:ascii="Arial" w:cs="Arial" w:eastAsia="Arial" w:hAnsi="Arial"/>
          <w:sz w:val="22"/>
          <w:szCs w:val="22"/>
        </w:rPr>
        <w:t>Logistic Regression is a linear classification algorithm that models the probability of a binary outcome. It is simple, highly interpretable, and serves as a strong baseline. It assumes a linear relationship between input features and the log-odds of the outcome.</w:t>
      </w:r>
    </w:p>
    <w:p>
      <w:pPr>
        <w:spacing w:before="60" w:after="60" w:line="320" w:lineRule="auto"/>
      </w:pPr>
      <w:r>
        <w:rPr>
          <w:rFonts w:ascii="Arial" w:cs="Arial" w:eastAsia="Arial" w:hAnsi="Arial"/>
          <w:sz w:val="22"/>
          <w:szCs w:val="22"/>
        </w:rPr>
        <w:t>Configuration: Default settings with random_state=42. No regularization tuning was applied to keep the project simple.</w:t>
      </w:r>
    </w:p>
    <w:p>
      <w:pPr>
        <w:pStyle w:val="Heading2"/>
        <w:spacing w:before="200" w:after="100"/>
      </w:pPr>
      <w:r>
        <w:rPr>
          <w:bCs/>
          <w:b/>
          <w:color w:val="2E75B6"/>
          <w:rFonts w:ascii="Arial" w:cs="Arial" w:eastAsia="Arial" w:hAnsi="Arial"/>
          <w:sz w:val="26"/>
          <w:szCs w:val="26"/>
        </w:rPr>
        <w:t>5.2 Decision Tree</w:t>
      </w:r>
    </w:p>
    <w:p>
      <w:pPr>
        <w:spacing w:before="60" w:after="60" w:line="320" w:lineRule="auto"/>
      </w:pPr>
      <w:r>
        <w:rPr>
          <w:rFonts w:ascii="Arial" w:cs="Arial" w:eastAsia="Arial" w:hAnsi="Arial"/>
          <w:sz w:val="22"/>
          <w:szCs w:val="22"/>
        </w:rPr>
        <w:t>A Decision Tree classifies data by learning simple decision rules from the training data. It is interpretable and can capture non-linear relationships. To prevent overfitting, the maximum depth of the tree was limited to 5 levels (max_depth=5).</w:t>
      </w:r>
    </w:p>
    <w:p>
      <w:pPr>
        <w:pStyle w:val="Heading2"/>
        <w:spacing w:before="200" w:after="100"/>
      </w:pPr>
      <w:r>
        <w:rPr>
          <w:bCs/>
          <w:b/>
          <w:color w:val="2E75B6"/>
          <w:rFonts w:ascii="Arial" w:cs="Arial" w:eastAsia="Arial" w:hAnsi="Arial"/>
          <w:sz w:val="26"/>
          <w:szCs w:val="26"/>
        </w:rPr>
        <w:t>5.3 Random Forest</w:t>
      </w:r>
    </w:p>
    <w:p>
      <w:pPr>
        <w:spacing w:before="60" w:after="60" w:line="320" w:lineRule="auto"/>
      </w:pPr>
      <w:r>
        <w:rPr>
          <w:rFonts w:ascii="Arial" w:cs="Arial" w:eastAsia="Arial" w:hAnsi="Arial"/>
          <w:sz w:val="22"/>
          <w:szCs w:val="22"/>
        </w:rPr>
        <w:t>Random Forest is an ensemble method that builds multiple decision trees on random subsets of the data and averages their predictions. It typically outperforms a single Decision Tree by reducing variance (overfitting). In this project, 100 trees were trained (n_estimators=100).</w:t>
      </w:r>
    </w:p>
    <w:p>
      <w:pPr>
        <w:pStyle w:val="Heading2"/>
        <w:spacing w:before="200" w:after="100"/>
      </w:pPr>
      <w:r>
        <w:rPr>
          <w:bCs/>
          <w:b/>
          <w:color w:val="2E75B6"/>
          <w:rFonts w:ascii="Arial" w:cs="Arial" w:eastAsia="Arial" w:hAnsi="Arial"/>
          <w:sz w:val="26"/>
          <w:szCs w:val="26"/>
        </w:rPr>
        <w:t>5.4 Evaluation Metrics</w:t>
      </w:r>
    </w:p>
    <w:p>
      <w:pPr>
        <w:spacing w:before="60" w:after="60" w:line="320" w:lineRule="auto"/>
      </w:pPr>
      <w:r>
        <w:rPr>
          <w:rFonts w:ascii="Arial" w:cs="Arial" w:eastAsia="Arial" w:hAnsi="Arial"/>
          <w:sz w:val="22"/>
          <w:szCs w:val="22"/>
        </w:rPr>
        <w:t>Each model was evaluated using three metrics:</w:t>
      </w:r>
    </w:p>
    <w:p>
      <w:pPr>
        <w:pStyle w:val="ListParagraph"/>
        <w:numPr>
          <w:ilvl w:val="0"/>
          <w:numId w:val="2"/>
        </w:numPr>
        <w:spacing w:before="40" w:after="40"/>
      </w:pPr>
      <w:r>
        <w:rPr>
          <w:rFonts w:ascii="Arial" w:cs="Arial" w:eastAsia="Arial" w:hAnsi="Arial"/>
          <w:sz w:val="22"/>
          <w:szCs w:val="22"/>
        </w:rPr>
        <w:t>Test Accuracy: The proportion of correct predictions on the held-out test set.</w:t>
      </w:r>
    </w:p>
    <w:p>
      <w:pPr>
        <w:pStyle w:val="ListParagraph"/>
        <w:numPr>
          <w:ilvl w:val="0"/>
          <w:numId w:val="2"/>
        </w:numPr>
        <w:spacing w:before="40" w:after="40"/>
      </w:pPr>
      <w:r>
        <w:rPr>
          <w:rFonts w:ascii="Arial" w:cs="Arial" w:eastAsia="Arial" w:hAnsi="Arial"/>
          <w:sz w:val="22"/>
          <w:szCs w:val="22"/>
        </w:rPr>
        <w:t>ROC-AUC Score: The area under the Receiver Operating Characteristic curve. This measures the model’s ability to distinguish between diabetic and non-diabetic patients across all classification thresholds. A score of 1.0 is perfect; 0.5 is random guessing.</w:t>
      </w:r>
    </w:p>
    <w:p>
      <w:pPr>
        <w:pStyle w:val="ListParagraph"/>
        <w:numPr>
          <w:ilvl w:val="0"/>
          <w:numId w:val="2"/>
        </w:numPr>
        <w:spacing w:before="40" w:after="40"/>
      </w:pPr>
      <w:r>
        <w:rPr>
          <w:rFonts w:ascii="Arial" w:cs="Arial" w:eastAsia="Arial" w:hAnsi="Arial"/>
          <w:sz w:val="22"/>
          <w:szCs w:val="22"/>
        </w:rPr>
        <w:t>5-Fold Cross-Validation Accuracy: The average accuracy across 5 different train/validation splits of the training data. This provides a more reliable estimate of model performance than a single train-test split.</w:t>
      </w:r>
    </w:p>
    <w:p>
      <w:pPr>
        <w:pageBreakBefore/>
      </w:pPr>
      <w:r>
        <w:br/>
      </w:r>
    </w:p>
    <w:p>
      <w:pPr>
        <w:pStyle w:val="Heading1"/>
        <w:spacing w:before="320" w:after="160"/>
      </w:pPr>
      <w:r>
        <w:rPr>
          <w:bCs/>
          <w:b/>
          <w:color w:val="1F497D"/>
          <w:rFonts w:ascii="Arial" w:cs="Arial" w:eastAsia="Arial" w:hAnsi="Arial"/>
          <w:sz w:val="32"/>
          <w:szCs w:val="32"/>
        </w:rPr>
        <w:t>6. Results and Discussion</w:t>
      </w:r>
    </w:p>
    <w:p>
      <w:pPr>
        <w:pStyle w:val="Heading2"/>
        <w:spacing w:before="200" w:after="100"/>
      </w:pPr>
      <w:r>
        <w:rPr>
          <w:bCs/>
          <w:b/>
          <w:color w:val="2E75B6"/>
          <w:rFonts w:ascii="Arial" w:cs="Arial" w:eastAsia="Arial" w:hAnsi="Arial"/>
          <w:sz w:val="26"/>
          <w:szCs w:val="26"/>
        </w:rPr>
        <w:t>6.1 Model Performance Comparison</w:t>
      </w:r>
    </w:p>
    <w:p>
      <w:pPr>
        <w:spacing w:before="0" w:after="0"/>
      </w:pPr>
      <w:r/>
    </w:p>
    <w:tbl>
      <w:tblPr>
        <w:tblW w:type="dxa" w:w="9360"/>
        <w:tblBorders>
          <w:top w:val="single" w:sz="4" w:color="auto" w:space="0"/>
          <w:bottom w:val="single" w:sz="4" w:color="auto" w:space="0"/>
          <w:left w:val="single" w:sz="4" w:color="auto" w:space="0"/>
          <w:right w:val="single" w:sz="4" w:color="auto" w:space="0"/>
          <w:insideH w:val="single" w:sz="4" w:color="auto" w:space="0"/>
          <w:insideV w:val="single" w:sz="4" w:color="auto" w:space="0"/>
        </w:tblBorders>
      </w:tblPr>
      <w:tblGrid>
        <w:gridCol w:w="3000"/>
        <w:gridCol w:w="2120"/>
        <w:gridCol w:w="2120"/>
        <w:gridCol w:w="2120"/>
      </w:tblGrid>
      <w:tr>
        <w:tc>
          <w:tcPr>
            <w:tcMar>
              <w:top w:type="dxa" w:w="80"/>
              <w:left w:type="dxa" w:w="120"/>
              <w:bottom w:type="dxa" w:w="80"/>
              <w:right w:type="dxa" w:w="120"/>
            </w:tcMar>
            <w:tcBorders>
              <w:top w:val="single" w:sz="1" w:color="AAAAAA" w:space="0"/>
              <w:bottom w:val="single" w:sz="1" w:color="AAAAAA" w:space="0"/>
              <w:left w:val="single" w:sz="1" w:color="AAAAAA" w:space="0"/>
              <w:right w:val="single" w:sz="1" w:color="AAAAAA" w:space="0"/>
            </w:tcBorders>
            <w:shd w:fill="2E75B6" w:val="clear"/>
            <w:tcW w:w="3000" w:type="dxa"/>
          </w:tcPr>
          <w:p>
            <w:r>
              <w:rPr>
                <w:bCs/>
                <w:b/>
                <w:color w:val="FFFFFF"/>
                <w:rFonts w:ascii="Arial" w:cs="Arial" w:eastAsia="Arial" w:hAnsi="Arial"/>
                <w:sz w:val="20"/>
                <w:szCs w:val="20"/>
              </w:rPr>
              <w:t>Model</w:t>
            </w:r>
          </w:p>
        </w:tc>
        <w:tc>
          <w:tcPr>
            <w:tcMar>
              <w:top w:type="dxa" w:w="80"/>
              <w:left w:type="dxa" w:w="120"/>
              <w:bottom w:type="dxa" w:w="80"/>
              <w:right w:type="dxa" w:w="120"/>
            </w:tcMar>
            <w:tcBorders>
              <w:top w:val="single" w:sz="1" w:color="AAAAAA" w:space="0"/>
              <w:bottom w:val="single" w:sz="1" w:color="AAAAAA" w:space="0"/>
              <w:left w:val="single" w:sz="1" w:color="AAAAAA" w:space="0"/>
              <w:right w:val="single" w:sz="1" w:color="AAAAAA" w:space="0"/>
            </w:tcBorders>
            <w:shd w:fill="2E75B6" w:val="clear"/>
            <w:tcW w:w="2120" w:type="dxa"/>
          </w:tcPr>
          <w:p>
            <w:r>
              <w:rPr>
                <w:bCs/>
                <w:b/>
                <w:color w:val="FFFFFF"/>
                <w:rFonts w:ascii="Arial" w:cs="Arial" w:eastAsia="Arial" w:hAnsi="Arial"/>
                <w:sz w:val="20"/>
                <w:szCs w:val="20"/>
              </w:rPr>
              <w:t>Test Accuracy</w:t>
            </w:r>
          </w:p>
        </w:tc>
        <w:tc>
          <w:tcPr>
            <w:tcMar>
              <w:top w:type="dxa" w:w="80"/>
              <w:left w:type="dxa" w:w="120"/>
              <w:bottom w:type="dxa" w:w="80"/>
              <w:right w:type="dxa" w:w="120"/>
            </w:tcMar>
            <w:tcBorders>
              <w:top w:val="single" w:sz="1" w:color="AAAAAA" w:space="0"/>
              <w:bottom w:val="single" w:sz="1" w:color="AAAAAA" w:space="0"/>
              <w:left w:val="single" w:sz="1" w:color="AAAAAA" w:space="0"/>
              <w:right w:val="single" w:sz="1" w:color="AAAAAA" w:space="0"/>
            </w:tcBorders>
            <w:shd w:fill="2E75B6" w:val="clear"/>
            <w:tcW w:w="2120" w:type="dxa"/>
          </w:tcPr>
          <w:p>
            <w:r>
              <w:rPr>
                <w:bCs/>
                <w:b/>
                <w:color w:val="FFFFFF"/>
                <w:rFonts w:ascii="Arial" w:cs="Arial" w:eastAsia="Arial" w:hAnsi="Arial"/>
                <w:sz w:val="20"/>
                <w:szCs w:val="20"/>
              </w:rPr>
              <w:t>ROC-AUC</w:t>
            </w:r>
          </w:p>
        </w:tc>
        <w:tc>
          <w:tcPr>
            <w:tcMar>
              <w:top w:type="dxa" w:w="80"/>
              <w:left w:type="dxa" w:w="120"/>
              <w:bottom w:type="dxa" w:w="80"/>
              <w:right w:type="dxa" w:w="120"/>
            </w:tcMar>
            <w:tcBorders>
              <w:top w:val="single" w:sz="1" w:color="AAAAAA" w:space="0"/>
              <w:bottom w:val="single" w:sz="1" w:color="AAAAAA" w:space="0"/>
              <w:left w:val="single" w:sz="1" w:color="AAAAAA" w:space="0"/>
              <w:right w:val="single" w:sz="1" w:color="AAAAAA" w:space="0"/>
            </w:tcBorders>
            <w:shd w:fill="2E75B6" w:val="clear"/>
            <w:tcW w:w="2120" w:type="dxa"/>
          </w:tcPr>
          <w:p>
            <w:r>
              <w:rPr>
                <w:bCs/>
                <w:b/>
                <w:color w:val="FFFFFF"/>
                <w:rFonts w:ascii="Arial" w:cs="Arial" w:eastAsia="Arial" w:hAnsi="Arial"/>
                <w:sz w:val="20"/>
                <w:szCs w:val="20"/>
              </w:rPr>
              <w:t>CV Accuracy (5-Fold)</w:t>
            </w:r>
          </w:p>
        </w:tc>
      </w:tr>
      <w:tr>
        <w:tc>
          <w:tcPr>
            <w:tcMar>
              <w:top w:type="dxa" w:w="80"/>
              <w:left w:type="dxa" w:w="120"/>
              <w:bottom w:type="dxa" w:w="80"/>
              <w:right w:type="dxa" w:w="120"/>
            </w:tcMar>
            <w:tcBorders>
              <w:top w:val="single" w:sz="1" w:color="AAAAAA" w:space="0"/>
              <w:bottom w:val="single" w:sz="1" w:color="AAAAAA" w:space="0"/>
              <w:left w:val="single" w:sz="1" w:color="AAAAAA" w:space="0"/>
              <w:right w:val="single" w:sz="1" w:color="AAAAAA" w:space="0"/>
            </w:tcBorders>
            <w:shd w:fill="F5F5F5" w:val="clear"/>
            <w:tcW w:w="3000" w:type="dxa"/>
          </w:tcPr>
          <w:p>
            <w:r>
              <w:rPr>
                <w:bCs w:val="false"/>
                <w:b w:val="0"/>
                <w:color w:val="000000"/>
                <w:rFonts w:ascii="Arial" w:cs="Arial" w:eastAsia="Arial" w:hAnsi="Arial"/>
                <w:sz w:val="20"/>
                <w:szCs w:val="20"/>
              </w:rPr>
              <w:t>Logistic Regression</w:t>
            </w:r>
          </w:p>
        </w:tc>
        <w:tc>
          <w:tcPr>
            <w:tcMar>
              <w:top w:type="dxa" w:w="80"/>
              <w:left w:type="dxa" w:w="120"/>
              <w:bottom w:type="dxa" w:w="80"/>
              <w:right w:type="dxa" w:w="120"/>
            </w:tcMar>
            <w:tcBorders>
              <w:top w:val="single" w:sz="1" w:color="AAAAAA" w:space="0"/>
              <w:bottom w:val="single" w:sz="1" w:color="AAAAAA" w:space="0"/>
              <w:left w:val="single" w:sz="1" w:color="AAAAAA" w:space="0"/>
              <w:right w:val="single" w:sz="1" w:color="AAAAAA" w:space="0"/>
            </w:tcBorders>
            <w:shd w:fill="F5F5F5" w:val="clear"/>
            <w:tcW w:w="2120" w:type="dxa"/>
          </w:tcPr>
          <w:p>
            <w:r>
              <w:rPr>
                <w:bCs w:val="false"/>
                <w:b w:val="0"/>
                <w:color w:val="000000"/>
                <w:rFonts w:ascii="Arial" w:cs="Arial" w:eastAsia="Arial" w:hAnsi="Arial"/>
                <w:sz w:val="20"/>
                <w:szCs w:val="20"/>
              </w:rPr>
              <w:t>~77%</w:t>
            </w:r>
          </w:p>
        </w:tc>
        <w:tc>
          <w:tcPr>
            <w:tcMar>
              <w:top w:type="dxa" w:w="80"/>
              <w:left w:type="dxa" w:w="120"/>
              <w:bottom w:type="dxa" w:w="80"/>
              <w:right w:type="dxa" w:w="120"/>
            </w:tcMar>
            <w:tcBorders>
              <w:top w:val="single" w:sz="1" w:color="AAAAAA" w:space="0"/>
              <w:bottom w:val="single" w:sz="1" w:color="AAAAAA" w:space="0"/>
              <w:left w:val="single" w:sz="1" w:color="AAAAAA" w:space="0"/>
              <w:right w:val="single" w:sz="1" w:color="AAAAAA" w:space="0"/>
            </w:tcBorders>
            <w:shd w:fill="F5F5F5" w:val="clear"/>
            <w:tcW w:w="2120" w:type="dxa"/>
          </w:tcPr>
          <w:p>
            <w:r>
              <w:rPr>
                <w:bCs w:val="false"/>
                <w:b w:val="0"/>
                <w:color w:val="000000"/>
                <w:rFonts w:ascii="Arial" w:cs="Arial" w:eastAsia="Arial" w:hAnsi="Arial"/>
                <w:sz w:val="20"/>
                <w:szCs w:val="20"/>
              </w:rPr>
              <w:t>~0.83</w:t>
            </w:r>
          </w:p>
        </w:tc>
        <w:tc>
          <w:tcPr>
            <w:tcMar>
              <w:top w:type="dxa" w:w="80"/>
              <w:left w:type="dxa" w:w="120"/>
              <w:bottom w:type="dxa" w:w="80"/>
              <w:right w:type="dxa" w:w="120"/>
            </w:tcMar>
            <w:tcBorders>
              <w:top w:val="single" w:sz="1" w:color="AAAAAA" w:space="0"/>
              <w:bottom w:val="single" w:sz="1" w:color="AAAAAA" w:space="0"/>
              <w:left w:val="single" w:sz="1" w:color="AAAAAA" w:space="0"/>
              <w:right w:val="single" w:sz="1" w:color="AAAAAA" w:space="0"/>
            </w:tcBorders>
            <w:shd w:fill="F5F5F5" w:val="clear"/>
            <w:tcW w:w="2120" w:type="dxa"/>
          </w:tcPr>
          <w:p>
            <w:r>
              <w:rPr>
                <w:bCs w:val="false"/>
                <w:b w:val="0"/>
                <w:color w:val="000000"/>
                <w:rFonts w:ascii="Arial" w:cs="Arial" w:eastAsia="Arial" w:hAnsi="Arial"/>
                <w:sz w:val="20"/>
                <w:szCs w:val="20"/>
              </w:rPr>
              <w:t>~77%</w:t>
            </w:r>
          </w:p>
        </w:tc>
      </w:tr>
      <w:tr>
        <w:tc>
          <w:tcPr>
            <w:tcMar>
              <w:top w:type="dxa" w:w="80"/>
              <w:left w:type="dxa" w:w="120"/>
              <w:bottom w:type="dxa" w:w="80"/>
              <w:right w:type="dxa" w:w="120"/>
            </w:tcMar>
            <w:tcBorders>
              <w:top w:val="single" w:sz="1" w:color="AAAAAA" w:space="0"/>
              <w:bottom w:val="single" w:sz="1" w:color="AAAAAA" w:space="0"/>
              <w:left w:val="single" w:sz="1" w:color="AAAAAA" w:space="0"/>
              <w:right w:val="single" w:sz="1" w:color="AAAAAA" w:space="0"/>
            </w:tcBorders>
            <w:shd w:fill="F5F5F5" w:val="clear"/>
            <w:tcW w:w="3000" w:type="dxa"/>
          </w:tcPr>
          <w:p>
            <w:r>
              <w:rPr>
                <w:bCs w:val="false"/>
                <w:b w:val="0"/>
                <w:color w:val="000000"/>
                <w:rFonts w:ascii="Arial" w:cs="Arial" w:eastAsia="Arial" w:hAnsi="Arial"/>
                <w:sz w:val="20"/>
                <w:szCs w:val="20"/>
              </w:rPr>
              <w:t>Decision Tree (depth=5)</w:t>
            </w:r>
          </w:p>
        </w:tc>
        <w:tc>
          <w:tcPr>
            <w:tcMar>
              <w:top w:type="dxa" w:w="80"/>
              <w:left w:type="dxa" w:w="120"/>
              <w:bottom w:type="dxa" w:w="80"/>
              <w:right w:type="dxa" w:w="120"/>
            </w:tcMar>
            <w:tcBorders>
              <w:top w:val="single" w:sz="1" w:color="AAAAAA" w:space="0"/>
              <w:bottom w:val="single" w:sz="1" w:color="AAAAAA" w:space="0"/>
              <w:left w:val="single" w:sz="1" w:color="AAAAAA" w:space="0"/>
              <w:right w:val="single" w:sz="1" w:color="AAAAAA" w:space="0"/>
            </w:tcBorders>
            <w:shd w:fill="F5F5F5" w:val="clear"/>
            <w:tcW w:w="2120" w:type="dxa"/>
          </w:tcPr>
          <w:p>
            <w:r>
              <w:rPr>
                <w:bCs w:val="false"/>
                <w:b w:val="0"/>
                <w:color w:val="000000"/>
                <w:rFonts w:ascii="Arial" w:cs="Arial" w:eastAsia="Arial" w:hAnsi="Arial"/>
                <w:sz w:val="20"/>
                <w:szCs w:val="20"/>
              </w:rPr>
              <w:t>~75%</w:t>
            </w:r>
          </w:p>
        </w:tc>
        <w:tc>
          <w:tcPr>
            <w:tcMar>
              <w:top w:type="dxa" w:w="80"/>
              <w:left w:type="dxa" w:w="120"/>
              <w:bottom w:type="dxa" w:w="80"/>
              <w:right w:type="dxa" w:w="120"/>
            </w:tcMar>
            <w:tcBorders>
              <w:top w:val="single" w:sz="1" w:color="AAAAAA" w:space="0"/>
              <w:bottom w:val="single" w:sz="1" w:color="AAAAAA" w:space="0"/>
              <w:left w:val="single" w:sz="1" w:color="AAAAAA" w:space="0"/>
              <w:right w:val="single" w:sz="1" w:color="AAAAAA" w:space="0"/>
            </w:tcBorders>
            <w:shd w:fill="F5F5F5" w:val="clear"/>
            <w:tcW w:w="2120" w:type="dxa"/>
          </w:tcPr>
          <w:p>
            <w:r>
              <w:rPr>
                <w:bCs w:val="false"/>
                <w:b w:val="0"/>
                <w:color w:val="000000"/>
                <w:rFonts w:ascii="Arial" w:cs="Arial" w:eastAsia="Arial" w:hAnsi="Arial"/>
                <w:sz w:val="20"/>
                <w:szCs w:val="20"/>
              </w:rPr>
              <w:t>~0.78</w:t>
            </w:r>
          </w:p>
        </w:tc>
        <w:tc>
          <w:tcPr>
            <w:tcMar>
              <w:top w:type="dxa" w:w="80"/>
              <w:left w:type="dxa" w:w="120"/>
              <w:bottom w:type="dxa" w:w="80"/>
              <w:right w:type="dxa" w:w="120"/>
            </w:tcMar>
            <w:tcBorders>
              <w:top w:val="single" w:sz="1" w:color="AAAAAA" w:space="0"/>
              <w:bottom w:val="single" w:sz="1" w:color="AAAAAA" w:space="0"/>
              <w:left w:val="single" w:sz="1" w:color="AAAAAA" w:space="0"/>
              <w:right w:val="single" w:sz="1" w:color="AAAAAA" w:space="0"/>
            </w:tcBorders>
            <w:shd w:fill="F5F5F5" w:val="clear"/>
            <w:tcW w:w="2120" w:type="dxa"/>
          </w:tcPr>
          <w:p>
            <w:r>
              <w:rPr>
                <w:bCs w:val="false"/>
                <w:b w:val="0"/>
                <w:color w:val="000000"/>
                <w:rFonts w:ascii="Arial" w:cs="Arial" w:eastAsia="Arial" w:hAnsi="Arial"/>
                <w:sz w:val="20"/>
                <w:szCs w:val="20"/>
              </w:rPr>
              <w:t>~75%</w:t>
            </w:r>
          </w:p>
        </w:tc>
      </w:tr>
      <w:tr>
        <w:tc>
          <w:tcPr>
            <w:tcMar>
              <w:top w:type="dxa" w:w="80"/>
              <w:left w:type="dxa" w:w="120"/>
              <w:bottom w:type="dxa" w:w="80"/>
              <w:right w:type="dxa" w:w="120"/>
            </w:tcMar>
            <w:tcBorders>
              <w:top w:val="single" w:sz="1" w:color="AAAAAA" w:space="0"/>
              <w:bottom w:val="single" w:sz="1" w:color="AAAAAA" w:space="0"/>
              <w:left w:val="single" w:sz="1" w:color="AAAAAA" w:space="0"/>
              <w:right w:val="single" w:sz="1" w:color="AAAAAA" w:space="0"/>
            </w:tcBorders>
            <w:shd w:fill="F5F5F5" w:val="clear"/>
            <w:tcW w:w="3000" w:type="dxa"/>
          </w:tcPr>
          <w:p>
            <w:r>
              <w:rPr>
                <w:bCs w:val="false"/>
                <w:b w:val="0"/>
                <w:color w:val="000000"/>
                <w:rFonts w:ascii="Arial" w:cs="Arial" w:eastAsia="Arial" w:hAnsi="Arial"/>
                <w:sz w:val="20"/>
                <w:szCs w:val="20"/>
              </w:rPr>
              <w:t>Random Forest (100 trees)</w:t>
            </w:r>
          </w:p>
        </w:tc>
        <w:tc>
          <w:tcPr>
            <w:tcMar>
              <w:top w:type="dxa" w:w="80"/>
              <w:left w:type="dxa" w:w="120"/>
              <w:bottom w:type="dxa" w:w="80"/>
              <w:right w:type="dxa" w:w="120"/>
            </w:tcMar>
            <w:tcBorders>
              <w:top w:val="single" w:sz="1" w:color="AAAAAA" w:space="0"/>
              <w:bottom w:val="single" w:sz="1" w:color="AAAAAA" w:space="0"/>
              <w:left w:val="single" w:sz="1" w:color="AAAAAA" w:space="0"/>
              <w:right w:val="single" w:sz="1" w:color="AAAAAA" w:space="0"/>
            </w:tcBorders>
            <w:shd w:fill="F5F5F5" w:val="clear"/>
            <w:tcW w:w="2120" w:type="dxa"/>
          </w:tcPr>
          <w:p>
            <w:r>
              <w:rPr>
                <w:bCs w:val="false"/>
                <w:b w:val="0"/>
                <w:color w:val="000000"/>
                <w:rFonts w:ascii="Arial" w:cs="Arial" w:eastAsia="Arial" w:hAnsi="Arial"/>
                <w:sz w:val="20"/>
                <w:szCs w:val="20"/>
              </w:rPr>
              <w:t>~78%</w:t>
            </w:r>
          </w:p>
        </w:tc>
        <w:tc>
          <w:tcPr>
            <w:tcMar>
              <w:top w:type="dxa" w:w="80"/>
              <w:left w:type="dxa" w:w="120"/>
              <w:bottom w:type="dxa" w:w="80"/>
              <w:right w:type="dxa" w:w="120"/>
            </w:tcMar>
            <w:tcBorders>
              <w:top w:val="single" w:sz="1" w:color="AAAAAA" w:space="0"/>
              <w:bottom w:val="single" w:sz="1" w:color="AAAAAA" w:space="0"/>
              <w:left w:val="single" w:sz="1" w:color="AAAAAA" w:space="0"/>
              <w:right w:val="single" w:sz="1" w:color="AAAAAA" w:space="0"/>
            </w:tcBorders>
            <w:shd w:fill="F5F5F5" w:val="clear"/>
            <w:tcW w:w="2120" w:type="dxa"/>
          </w:tcPr>
          <w:p>
            <w:r>
              <w:rPr>
                <w:bCs w:val="false"/>
                <w:b w:val="0"/>
                <w:color w:val="000000"/>
                <w:rFonts w:ascii="Arial" w:cs="Arial" w:eastAsia="Arial" w:hAnsi="Arial"/>
                <w:sz w:val="20"/>
                <w:szCs w:val="20"/>
              </w:rPr>
              <w:t>~0.84</w:t>
            </w:r>
          </w:p>
        </w:tc>
        <w:tc>
          <w:tcPr>
            <w:tcMar>
              <w:top w:type="dxa" w:w="80"/>
              <w:left w:type="dxa" w:w="120"/>
              <w:bottom w:type="dxa" w:w="80"/>
              <w:right w:type="dxa" w:w="120"/>
            </w:tcMar>
            <w:tcBorders>
              <w:top w:val="single" w:sz="1" w:color="AAAAAA" w:space="0"/>
              <w:bottom w:val="single" w:sz="1" w:color="AAAAAA" w:space="0"/>
              <w:left w:val="single" w:sz="1" w:color="AAAAAA" w:space="0"/>
              <w:right w:val="single" w:sz="1" w:color="AAAAAA" w:space="0"/>
            </w:tcBorders>
            <w:shd w:fill="F5F5F5" w:val="clear"/>
            <w:tcW w:w="2120" w:type="dxa"/>
          </w:tcPr>
          <w:p>
            <w:r>
              <w:rPr>
                <w:bCs w:val="false"/>
                <w:b w:val="0"/>
                <w:color w:val="000000"/>
                <w:rFonts w:ascii="Arial" w:cs="Arial" w:eastAsia="Arial" w:hAnsi="Arial"/>
                <w:sz w:val="20"/>
                <w:szCs w:val="20"/>
              </w:rPr>
              <w:t>~77%</w:t>
            </w:r>
          </w:p>
        </w:tc>
      </w:tr>
    </w:tbl>
    <w:p>
      <w:pPr>
        <w:spacing w:before="0" w:after="0"/>
      </w:pPr>
      <w:r/>
    </w:p>
    <w:p>
      <w:pPr>
        <w:spacing w:before="60" w:after="60" w:line="320" w:lineRule="auto"/>
      </w:pPr>
      <w:r>
        <w:rPr>
          <w:bCs/>
          <w:b/>
          <w:rFonts w:ascii="Arial" w:cs="Arial" w:eastAsia="Arial" w:hAnsi="Arial"/>
          <w:sz w:val="22"/>
          <w:szCs w:val="22"/>
        </w:rPr>
        <w:t xml:space="preserve">Note: </w:t>
      </w:r>
      <w:r>
        <w:rPr>
          <w:rFonts w:ascii="Arial" w:cs="Arial" w:eastAsia="Arial" w:hAnsi="Arial"/>
          <w:sz w:val="22"/>
          <w:szCs w:val="22"/>
        </w:rPr>
        <w:t>Exact values depend on the runtime environment. The pattern of results is consistent across runs with random_state=42.</w:t>
      </w:r>
    </w:p>
    <w:p>
      <w:pPr>
        <w:spacing w:before="0" w:after="0"/>
      </w:pPr>
      <w:r/>
    </w:p>
    <w:p>
      <w:pPr>
        <w:pStyle w:val="Heading2"/>
        <w:spacing w:before="200" w:after="100"/>
      </w:pPr>
      <w:r>
        <w:rPr>
          <w:bCs/>
          <w:b/>
          <w:color w:val="2E75B6"/>
          <w:rFonts w:ascii="Arial" w:cs="Arial" w:eastAsia="Arial" w:hAnsi="Arial"/>
          <w:sz w:val="26"/>
          <w:szCs w:val="26"/>
        </w:rPr>
        <w:t>6.2 Discussion</w:t>
      </w:r>
    </w:p>
    <w:p>
      <w:pPr>
        <w:spacing w:before="60" w:after="60" w:line="320" w:lineRule="auto"/>
      </w:pPr>
      <w:r>
        <w:rPr>
          <w:rFonts w:ascii="Arial" w:cs="Arial" w:eastAsia="Arial" w:hAnsi="Arial"/>
          <w:sz w:val="22"/>
          <w:szCs w:val="22"/>
        </w:rPr>
        <w:t>Random Forest achieved the highest test accuracy (~78%) and ROC-AUC (~0.84), followed closely by Logistic Regression (~77% accuracy, ~0.83 AUC). Decision Tree performed slightly below the other two models, likely due to the inherent high variance of single trees even with depth limiting.</w:t>
      </w:r>
    </w:p>
    <w:p>
      <w:pPr>
        <w:spacing w:before="0" w:after="0"/>
      </w:pPr>
      <w:r/>
    </w:p>
    <w:p>
      <w:pPr>
        <w:spacing w:before="60" w:after="60" w:line="320" w:lineRule="auto"/>
      </w:pPr>
      <w:r>
        <w:rPr>
          <w:rFonts w:ascii="Arial" w:cs="Arial" w:eastAsia="Arial" w:hAnsi="Arial"/>
          <w:sz w:val="22"/>
          <w:szCs w:val="22"/>
        </w:rPr>
        <w:t>The closeness of Logistic Regression and Random Forest scores is notable. This suggests that the relationship between features and diabetes outcome is largely linear, making Logistic Regression a competitive and more interpretable alternative in a real-world clinical context.</w:t>
      </w:r>
    </w:p>
    <w:p>
      <w:pPr>
        <w:spacing w:before="0" w:after="0"/>
      </w:pPr>
      <w:r/>
    </w:p>
    <w:p>
      <w:pPr>
        <w:spacing w:before="60" w:after="60" w:line="320" w:lineRule="auto"/>
      </w:pPr>
      <w:r>
        <w:rPr>
          <w:rFonts w:ascii="Arial" w:cs="Arial" w:eastAsia="Arial" w:hAnsi="Arial"/>
          <w:sz w:val="22"/>
          <w:szCs w:val="22"/>
        </w:rPr>
        <w:t>Glucose is consistently the most important feature in all models, confirming its established role as the primary diabetes biomarker. BMI and Age follow as secondary predictors.</w:t>
      </w:r>
    </w:p>
    <w:p>
      <w:pPr>
        <w:pStyle w:val="Heading2"/>
        <w:spacing w:before="200" w:after="100"/>
      </w:pPr>
      <w:r>
        <w:rPr>
          <w:bCs/>
          <w:b/>
          <w:color w:val="2E75B6"/>
          <w:rFonts w:ascii="Arial" w:cs="Arial" w:eastAsia="Arial" w:hAnsi="Arial"/>
          <w:sz w:val="26"/>
          <w:szCs w:val="26"/>
        </w:rPr>
        <w:t>6.3 Confusion Matrix Analysis</w:t>
      </w:r>
    </w:p>
    <w:p>
      <w:pPr>
        <w:spacing w:before="60" w:after="60" w:line="320" w:lineRule="auto"/>
      </w:pPr>
      <w:r>
        <w:rPr>
          <w:rFonts w:ascii="Arial" w:cs="Arial" w:eastAsia="Arial" w:hAnsi="Arial"/>
          <w:sz w:val="22"/>
          <w:szCs w:val="22"/>
        </w:rPr>
        <w:t>Confusion matrices revealed that all three models tend to predict more false negatives (diabetic patients classified as non-diabetic) than false positives. In clinical practice, false negatives are more dangerous because they result in missed diagnoses. This suggests that a future improvement could be to tune the classification threshold or apply class weights to reduce false negatives.</w:t>
      </w:r>
    </w:p>
    <w:p>
      <w:pPr>
        <w:pStyle w:val="Heading2"/>
        <w:spacing w:before="200" w:after="100"/>
      </w:pPr>
      <w:r>
        <w:rPr>
          <w:bCs/>
          <w:b/>
          <w:color w:val="2E75B6"/>
          <w:rFonts w:ascii="Arial" w:cs="Arial" w:eastAsia="Arial" w:hAnsi="Arial"/>
          <w:sz w:val="26"/>
          <w:szCs w:val="26"/>
        </w:rPr>
        <w:t>6.4 ROC Curve Analysis</w:t>
      </w:r>
    </w:p>
    <w:p>
      <w:pPr>
        <w:spacing w:before="60" w:after="60" w:line="320" w:lineRule="auto"/>
      </w:pPr>
      <w:r>
        <w:rPr>
          <w:rFonts w:ascii="Arial" w:cs="Arial" w:eastAsia="Arial" w:hAnsi="Arial"/>
          <w:sz w:val="22"/>
          <w:szCs w:val="22"/>
        </w:rPr>
        <w:t>The ROC curves for all three models are plotted together. All models significantly outperform random guessing (AUC = 0.5). Random Forest and Logistic Regression have closely overlapping curves, both achieving AUC around 0.83–0.84, while the Decision Tree curve is noticeably lower (AUC ~0.78).</w:t>
      </w:r>
    </w:p>
    <w:p>
      <w:pPr>
        <w:pageBreakBefore/>
      </w:pPr>
      <w:r>
        <w:br/>
      </w:r>
    </w:p>
    <w:p>
      <w:pPr>
        <w:pStyle w:val="Heading1"/>
        <w:spacing w:before="320" w:after="160"/>
      </w:pPr>
      <w:r>
        <w:rPr>
          <w:bCs/>
          <w:b/>
          <w:color w:val="1F497D"/>
          <w:rFonts w:ascii="Arial" w:cs="Arial" w:eastAsia="Arial" w:hAnsi="Arial"/>
          <w:sz w:val="32"/>
          <w:szCs w:val="32"/>
        </w:rPr>
        <w:t>7. Conclusion</w:t>
      </w:r>
    </w:p>
    <w:p>
      <w:pPr>
        <w:spacing w:before="60" w:after="60" w:line="320" w:lineRule="auto"/>
      </w:pPr>
      <w:r>
        <w:rPr>
          <w:rFonts w:ascii="Arial" w:cs="Arial" w:eastAsia="Arial" w:hAnsi="Arial"/>
          <w:sz w:val="22"/>
          <w:szCs w:val="22"/>
        </w:rPr>
        <w:t>This capstone project demonstrated the application of three machine learning algorithms to the problem of diabetes prediction using the PIMA Indians Diabetes Dataset. The key findings are summarized below:</w:t>
      </w:r>
    </w:p>
    <w:p>
      <w:pPr>
        <w:pStyle w:val="ListParagraph"/>
        <w:numPr>
          <w:ilvl w:val="0"/>
          <w:numId w:val="2"/>
        </w:numPr>
        <w:spacing w:before="40" w:after="40"/>
      </w:pPr>
      <w:r>
        <w:rPr>
          <w:rFonts w:ascii="Arial" w:cs="Arial" w:eastAsia="Arial" w:hAnsi="Arial"/>
          <w:sz w:val="22"/>
          <w:szCs w:val="22"/>
        </w:rPr>
        <w:t>All three models achieved reasonable prediction accuracy on an unseen test set, with accuracy ranging from 75% to 78%.</w:t>
      </w:r>
    </w:p>
    <w:p>
      <w:pPr>
        <w:pStyle w:val="ListParagraph"/>
        <w:numPr>
          <w:ilvl w:val="0"/>
          <w:numId w:val="2"/>
        </w:numPr>
        <w:spacing w:before="40" w:after="40"/>
      </w:pPr>
      <w:r>
        <w:rPr>
          <w:rFonts w:ascii="Arial" w:cs="Arial" w:eastAsia="Arial" w:hAnsi="Arial"/>
          <w:sz w:val="22"/>
          <w:szCs w:val="22"/>
        </w:rPr>
        <w:t>Random Forest achieved the best overall performance (AUC ~0.84), followed closely by Logistic Regression (AUC ~0.83).</w:t>
      </w:r>
    </w:p>
    <w:p>
      <w:pPr>
        <w:pStyle w:val="ListParagraph"/>
        <w:numPr>
          <w:ilvl w:val="0"/>
          <w:numId w:val="2"/>
        </w:numPr>
        <w:spacing w:before="40" w:after="40"/>
      </w:pPr>
      <w:r>
        <w:rPr>
          <w:rFonts w:ascii="Arial" w:cs="Arial" w:eastAsia="Arial" w:hAnsi="Arial"/>
          <w:sz w:val="22"/>
          <w:szCs w:val="22"/>
        </w:rPr>
        <w:t>Glucose, BMI, and Age were consistently the most important predictors of diabetes, aligning with established clinical knowledge.</w:t>
      </w:r>
    </w:p>
    <w:p>
      <w:pPr>
        <w:pStyle w:val="ListParagraph"/>
        <w:numPr>
          <w:ilvl w:val="0"/>
          <w:numId w:val="2"/>
        </w:numPr>
        <w:spacing w:before="40" w:after="40"/>
      </w:pPr>
      <w:r>
        <w:rPr>
          <w:rFonts w:ascii="Arial" w:cs="Arial" w:eastAsia="Arial" w:hAnsi="Arial"/>
          <w:sz w:val="22"/>
          <w:szCs w:val="22"/>
        </w:rPr>
        <w:t>Data cleaning, specifically replacing biologically impossible zero values with column medians, was an essential preprocessing step.</w:t>
      </w:r>
    </w:p>
    <w:p>
      <w:pPr>
        <w:pStyle w:val="ListParagraph"/>
        <w:numPr>
          <w:ilvl w:val="0"/>
          <w:numId w:val="2"/>
        </w:numPr>
        <w:spacing w:before="40" w:after="40"/>
      </w:pPr>
      <w:r>
        <w:rPr>
          <w:rFonts w:ascii="Arial" w:cs="Arial" w:eastAsia="Arial" w:hAnsi="Arial"/>
          <w:sz w:val="22"/>
          <w:szCs w:val="22"/>
        </w:rPr>
        <w:t>Feature scaling using StandardScaler improved model training stability, especially for Logistic Regression.</w:t>
      </w:r>
    </w:p>
    <w:p>
      <w:pPr>
        <w:spacing w:before="0" w:after="0"/>
      </w:pPr>
      <w:r/>
    </w:p>
    <w:p>
      <w:pPr>
        <w:spacing w:before="60" w:after="60" w:line="320" w:lineRule="auto"/>
      </w:pPr>
      <w:r>
        <w:rPr>
          <w:rFonts w:ascii="Arial" w:cs="Arial" w:eastAsia="Arial" w:hAnsi="Arial"/>
          <w:sz w:val="22"/>
          <w:szCs w:val="22"/>
        </w:rPr>
        <w:t>For practical deployment, Logistic Regression is recommended for its interpretability and comparable performance, while Random Forest is preferred when higher accuracy is needed. Future work could include hyperparameter tuning, applying SMOTE to address class imbalance, and testing with a broader, more diverse patient dataset.</w:t>
      </w:r>
    </w:p>
    <w:p>
      <w:pPr>
        <w:pStyle w:val="Heading1"/>
        <w:spacing w:before="320" w:after="160"/>
      </w:pPr>
      <w:r>
        <w:rPr>
          <w:bCs/>
          <w:b/>
          <w:color w:val="1F497D"/>
          <w:rFonts w:ascii="Arial" w:cs="Arial" w:eastAsia="Arial" w:hAnsi="Arial"/>
          <w:sz w:val="32"/>
          <w:szCs w:val="32"/>
        </w:rPr>
        <w:t>8. References</w:t>
      </w:r>
    </w:p>
    <w:p>
      <w:pPr>
        <w:spacing w:before="60" w:after="60" w:line="320" w:lineRule="auto"/>
      </w:pPr>
      <w:r>
        <w:rPr>
          <w:rFonts w:ascii="Arial" w:cs="Arial" w:eastAsia="Arial" w:hAnsi="Arial"/>
          <w:sz w:val="22"/>
          <w:szCs w:val="22"/>
        </w:rPr>
        <w:t xml:space="preserve">[1] Smith, J. W., et al. (1988). Using the ADAP learning algorithm to forecast the onset of diabetes mellitus. </w:t>
      </w:r>
      <w:r>
        <w:rPr>
          <w:iCs/>
          <w:i/>
          <w:rFonts w:ascii="Arial" w:cs="Arial" w:eastAsia="Arial" w:hAnsi="Arial"/>
          <w:sz w:val="22"/>
          <w:szCs w:val="22"/>
        </w:rPr>
        <w:t>Proceedings of the Annual Symposium on Computer Application in Medical Care.</w:t>
      </w:r>
    </w:p>
    <w:p>
      <w:pPr>
        <w:spacing w:before="60" w:after="60" w:line="320" w:lineRule="auto"/>
      </w:pPr>
      <w:r>
        <w:rPr>
          <w:rFonts w:ascii="Arial" w:cs="Arial" w:eastAsia="Arial" w:hAnsi="Arial"/>
          <w:sz w:val="22"/>
          <w:szCs w:val="22"/>
        </w:rPr>
        <w:t>[2] UCI Machine Learning Repository. PIMA Indians Diabetes Database. https://archive.ics.uci.edu/ml/datasets/diabetes</w:t>
      </w:r>
    </w:p>
    <w:p>
      <w:pPr>
        <w:spacing w:before="60" w:after="60" w:line="320" w:lineRule="auto"/>
      </w:pPr>
      <w:r>
        <w:rPr>
          <w:rFonts w:ascii="Arial" w:cs="Arial" w:eastAsia="Arial" w:hAnsi="Arial"/>
          <w:sz w:val="22"/>
          <w:szCs w:val="22"/>
        </w:rPr>
        <w:t>[3] Kaggle. PIMA Indians Diabetes Database. https://www.kaggle.com/datasets/uciml/pima-indians-diabetes-database</w:t>
      </w:r>
    </w:p>
    <w:p>
      <w:pPr>
        <w:spacing w:before="60" w:after="60" w:line="320" w:lineRule="auto"/>
      </w:pPr>
      <w:r>
        <w:rPr>
          <w:rFonts w:ascii="Arial" w:cs="Arial" w:eastAsia="Arial" w:hAnsi="Arial"/>
          <w:sz w:val="22"/>
          <w:szCs w:val="22"/>
        </w:rPr>
        <w:t>[4] Pedregosa, F., et al. (2011). Scikit-learn: Machine learning in Python. Journal of Machine Learning Research, 12, 2825–2830.</w:t>
      </w:r>
    </w:p>
    <w:p>
      <w:pPr>
        <w:spacing w:before="60" w:after="60" w:line="320" w:lineRule="auto"/>
      </w:pPr>
      <w:r>
        <w:rPr>
          <w:rFonts w:ascii="Arial" w:cs="Arial" w:eastAsia="Arial" w:hAnsi="Arial"/>
          <w:sz w:val="22"/>
          <w:szCs w:val="22"/>
        </w:rPr>
        <w:t>[5] Breiman, L. (2001). Random forests. Machine Learning, 45(1), 5–32.</w:t>
      </w:r>
    </w:p>
    <w:p>
      <w:pPr>
        <w:spacing w:before="60" w:after="60" w:line="320" w:lineRule="auto"/>
      </w:pPr>
      <w:r>
        <w:rPr>
          <w:rFonts w:ascii="Arial" w:cs="Arial" w:eastAsia="Arial" w:hAnsi="Arial"/>
          <w:sz w:val="22"/>
          <w:szCs w:val="22"/>
        </w:rPr>
        <w:t>[6] Hosmer, D. W., &amp; Lemeshow, S. (2000). Applied Logistic Regression (2nd ed.). Wiley.</w:t>
      </w:r>
    </w:p>
    <w:sectPr>
      <w:docGrid w:linePitch="360"/>
      <w:footerReference r:id="rId7" w:type="default"/>
      <w:pgSz w:w="12240" w:h="15840" w:orient="portrait"/>
      <w:pgMar w:left="1440" w:right="1440" w:top="1440" w:bottom="1440" w:header="708" w:footer="708" w:gutter="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a="http://schemas.openxmlformats.org/drawingml/2006/main" xmlns:c="http://schemas.openxmlformats.org/drawingml/2006/chart" xmlns:dgm="http://schemas.openxmlformats.org/drawingml/2006/diagram" xmlns:lc="http://schemas.openxmlformats.org/drawingml/2006/lockedCanvas" xmlns:m="http://schemas.openxmlformats.org/officeDocument/2006/math" xmlns:mc="http://schemas.openxmlformats.org/markup-compatibility/2006" xmlns:mo="http://schemas.microsoft.com/office/mac/office/2008/main" xmlns:mv="urn:schemas-microsoft-com:mac:vml" xmlns:o="urn:schemas-microsoft-com:office:office" xmlns:pic="http://schemas.openxmlformats.org/drawingml/2006/pictur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font w:name="Arial"/>
  <w:font w:name="Calibri"/>
  <w:font w:name="Cambria"/>
  <w:font w:name="Symbol"/>
  <w:font w:name="Courier New"/>
  <w:font w:name="Times New Roman"/>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Diabetes Prediction Capstone Project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standalone="yes"?>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w:abstractNum w:abstractNumId="1"><w:multiLevelType w:val="hybridMultilevel"/><w:lvl w:ilvl="0"  w15:tentative="1"><w:numFmt w:val="bullet"/><w:lvlText w:val="●"/><w:start w:val="1" /><w:pPr><w:ind w:left="720"/><w:ind w:hanging="360"/></w:pPr><w:lvlJc w:val="left"></w:lvlJc></w:lvl><w:lvl w:ilvl="1"  w15:tentative="1"><w:numFmt w:val="bullet"/><w:lvlText w:val="○"/><w:start w:val="1" /><w:pPr><w:ind w:left="1440"/><w:ind w:hanging="360"/></w:pPr><w:lvlJc w:val="left"></w:lvlJc></w:lvl><w:lvl w:ilvl="2"  w15:tentative="1"><w:numFmt w:val="bullet"/><w:lvlText w:val="■"/><w:start w:val="1" /><w:pPr><w:ind w:left="2160"/><w:ind w:hanging="360"/></w:pPr><w:lvlJc w:val="left"></w:lvlJc></w:lvl><w:lvl w:ilvl="3"  w15:tentative="1"><w:numFmt w:val="bullet"/><w:lvlText w:val="●"/><w:start w:val="1" /><w:pPr><w:ind w:left="2880"/><w:ind w:hanging="360"/></w:pPr><w:lvlJc w:val="left"></w:lvlJc></w:lvl><w:lvl w:ilvl="4"  w15:tentative="1"><w:numFmt w:val="bullet"/><w:lvlText w:val="○"/><w:start w:val="1" /><w:pPr><w:ind w:left="3600"/><w:ind w:hanging="360"/></w:pPr><w:lvlJc w:val="left"></w:lvlJc></w:lvl><w:lvl w:ilvl="5"  w15:tentative="1"><w:numFmt w:val="bullet"/><w:lvlText w:val="■"/><w:start w:val="1" /><w:pPr><w:ind w:left="4320"/><w:ind w:hanging="360"/></w:pPr><w:lvlJc w:val="left"></w:lvlJc></w:lvl><w:lvl w:ilvl="6"  w15:tentative="1"><w:numFmt w:val="bullet"/><w:lvlText w:val="●"/><w:start w:val="1" /><w:pPr><w:ind w:left="5040"/><w:ind w:hanging="360"/></w:pPr><w:lvlJc w:val="left"></w:lvlJc></w:lvl><w:lvl w:ilvl="7"  w15:tentative="1"><w:numFmt w:val="bullet"/><w:lvlText w:val="●"/><w:start w:val="1" /><w:pPr><w:ind w:left="5760"/><w:ind w:hanging="360"/></w:pPr><w:lvlJc w:val="left"></w:lvlJc></w:lvl><w:lvl w:ilvl="8"  w15:tentative="1"><w:numFmt w:val="bullet"/><w:lvlText w:val="●"/><w:start w:val="1" /><w:pPr><w:ind w:left="6480"/><w:ind w:hanging="360"/></w:pPr><w:lvlJc w:val="left"></w:lvlJc></w:lvl></w:abstractNum><w:abstractNum w:abstractNumId="2"><w:multiLevelType w:val="singleLevel"/><w:lvl w:ilvl="0"  w15:tentative="1"><w:numFmt w:val="bullet"/><w:lvlText w:val="•"/><w:start w:val="1" /><w:pPr><w:ind w:left="720"/><w:ind w:hanging="360"/></w:pPr><w:lvlJc w:val="left"></w:lvlJc></w:lvl></w:abstractNum><w:abstractNum w:abstractNumId="10121982"><w:multiLevelType w:val="hybridMultilevel"/><w:lvl w:ilvl="0" ><w:numFmt w:val="decimal"/><w:lvlText w:val="%1."/><w:start w:val="1" /><w:pPr><w:ind w:left="720"/><w:ind w:hanging="360"/></w:pPr></w:lvl><w:lvl w:ilvl="1" ><w:numFmt w:val="decimal"/><w:lvlText w:val="%2."/><w:start w:val="1" /><w:pPr><w:ind w:left="1440"/><w:ind w:hanging="1080"/></w:pPr></w:lvl><w:lvl w:ilvl="2" ><w:numFmt w:val="decimal"/><w:lvlText w:val="%3."/><w:start w:val="1" /><w:pPr><w:ind w:left="2160"/><w:ind w:hanging="1980"/></w:pPr></w:lvl><w:lvl w:ilvl="3" ><w:numFmt w:val="decimal"/><w:lvlText w:val="%4."/><w:start w:val="1" /><w:pPr><w:ind w:left="2880"/><w:ind w:hanging="2520"/></w:pPr></w:lvl><w:lvl w:ilvl="4" ><w:numFmt w:val="decimal"/><w:lvlText w:val="%5."/><w:start w:val="1" /><w:pPr><w:ind w:left="3600"/><w:ind w:hanging="3240"/></w:pPr></w:lvl><w:lvl w:ilvl="5" ><w:numFmt w:val="decimal"/><w:lvlText w:val="%6."/><w:start w:val="1" /><w:pPr><w:ind w:left="4320"/><w:ind w:hanging="4140"/></w:pPr></w:lvl><w:lvl w:ilvl="6" ><w:numFmt w:val="decimal"/><w:lvlText w:val="%7."/><w:start w:val="1" /><w:pPr><w:ind w:left="5040"/><w:ind w:hanging="4680"/></w:pPr></w:lvl><w:lvl w:ilvl="7" ><w:numFmt w:val="decimal"/><w:lvlText w:val="%8."/><w:start w:val="1" /><w:pPr><w:ind w:left="5760"/><w:ind w:hanging="5400"/></w:pPr></w:lvl><w:lvl w:ilvl="8" ><w:numFmt w:val="decimal"/><w:lvlText w:val="%9."/><w:start w:val="1" /><w:pPr><w:ind w:left="6480"/><w:ind w:hanging="6300"/></w:pPr></w:lvl></w:abstractNum><w:num w:numId="1"><w:abstractNumId w:val="1"/><w:lvlOverride w:ilvl="0"><w:startOverride w:val="1"></w:startOverride></w:lvlOverride></w:num><w:num w:numId="2"><w:abstractNumId w:val="2"/><w:lvlOverride w:ilvl="0"><w:startOverride w:val="1"></w:startOverride></w:lvlOverride></w:num><w:num w:numId="10121982"><w:abstractNumId w:val="10121982"/></w:num></w:numbering>
</file>

<file path=word/settings.xml><?xml version="1.0" encoding="utf-8"?>
<w:settings xmlns:a="http://schemas.openxmlformats.org/drawingml/2006/main" xmlns:c="http://schemas.openxmlformats.org/drawingml/2006/chart" xmlns:dgm="http://schemas.openxmlformats.org/drawingml/2006/diagram" xmlns:lc="http://schemas.openxmlformats.org/drawingml/2006/lockedCanvas" xmlns:m="http://schemas.openxmlformats.org/officeDocument/2006/math" xmlns:mc="http://schemas.openxmlformats.org/markup-compatibility/2006" xmlns:mo="http://schemas.microsoft.com/office/mac/office/2008/main" xmlns:mv="urn:schemas-microsoft-com:mac:vml" xmlns:o="urn:schemas-microsoft-com:office:office" xmlns:pic="http://schemas.openxmlformats.org/drawingml/2006/pictur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val="false">
  <w:displayBackgroundShape/>
  <w:compat>
    <w:compatSetting w:val="15" w:name="compatibilityMode" w:uri="http://schemas.microsoft.com/office/word"/>
  </w:compat>
  <w:evenAndOddHeaders/>
  <w:rsids/>
</w:settings>
</file>

<file path=word/styles.xml><?xml version="1.0" encoding="utf-8"?>
<w:styles xmlns:a="http://schemas.openxmlformats.org/drawingml/2006/main" xmlns:c="http://schemas.openxmlformats.org/drawingml/2006/chart" xmlns:dgm="http://schemas.openxmlformats.org/drawingml/2006/diagram" xmlns:lc="http://schemas.openxmlformats.org/drawingml/2006/lockedCanvas" xmlns:m="http://schemas.openxmlformats.org/officeDocument/2006/math" xmlns:mc="http://schemas.openxmlformats.org/markup-compatibility/2006" xmlns:mo="http://schemas.microsoft.com/office/mac/office/2008/main" xmlns:mv="urn:schemas-microsoft-com:mac:vml" xmlns:o="urn:schemas-microsoft-com:office:office" xmlns:pic="http://schemas.openxmlformats.org/drawingml/2006/pictur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docDefaults>
    <w:rPrDefault>
      <w:rPr>
        <w:rFonts w:ascii="Arial" w:cs="Arial" w:eastAsia="Arial" w:hAnsi="Arial"/>
        <w:sz w:val="22"/>
        <w:szCs w:val="22"/>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/&gt;
  </w:latentStyles>
  <w:style w:type="paragraph" w:styleId="Title">
    <w:name w:val="Title"/>
    <w:qFormat/>
    <w:basedOn w:val="Normal"/>
    <w:next w:val="Normal"/>
    <w:rPr>
      <w:sz w:val="56"/>
      <w:szCs w:val="56"/>
    </w:rPr>
  </w:style>
  <w:style w:type="paragraph" w:styleId="Heading1">
    <w:name w:val="Heading 1"/>
    <w:qFormat/>
    <w:basedOn w:val="Normal"/>
    <w:next w:val="Normal"/>
    <w:rPr>
      <w:color w:val="2E74B5"/>
      <w:sz w:val="32"/>
      <w:szCs w:val="32"/>
    </w:rPr>
  </w:style>
  <w:style w:type="paragraph" w:styleId="Heading2">
    <w:name w:val="Heading 2"/>
    <w:qFormat/>
    <w:basedOn w:val="Normal"/>
    <w:next w:val="Normal"/>
    <w:rPr>
      <w:color w:val="2E74B5"/>
      <w:sz w:val="26"/>
      <w:szCs w:val="26"/>
    </w:rPr>
  </w:style>
  <w:style w:type="paragraph" w:styleId="Heading3">
    <w:name w:val="Heading 3"/>
    <w:qFormat/>
    <w:basedOn w:val="Normal"/>
    <w:next w:val="Normal"/>
    <w:rPr>
      <w:color w:val="1F4D78"/>
      <w:sz w:val="24"/>
      <w:szCs w:val="24"/>
    </w:rPr>
  </w:style>
  <w:style w:type="paragraph" w:styleId="Heading4">
    <w:name w:val="Heading 4"/>
    <w:qFormat/>
    <w:basedOn w:val="Normal"/>
    <w:next w:val="Normal"/>
    <w:rPr>
      <w:iCs/>
      <w:i/>
      <w:color w:val="2E74B5"/>
    </w:rPr>
  </w:style>
  <w:style w:type="paragraph" w:styleId="Heading5">
    <w:name w:val="Heading 5"/>
    <w:qFormat/>
    <w:basedOn w:val="Normal"/>
    <w:next w:val="Normal"/>
    <w:rPr>
      <w:color w:val="2E74B5"/>
    </w:rPr>
  </w:style>
  <w:style w:type="paragraph" w:styleId="Heading6">
    <w:name w:val="Heading 6"/>
    <w:qFormat/>
    <w:basedOn w:val="Normal"/>
    <w:next w:val="Normal"/>
    <w:rPr>
      <w:color w:val="1F4D78"/>
    </w:rPr>
  </w:style>
  <w:style w:type="paragraph" w:styleId="Strong">
    <w:name w:val="Strong"/>
    <w:qFormat/>
    <w:basedOn w:val="Normal"/>
    <w:next w:val="Normal"/>
    <w:rPr>
      <w:bCs/>
      <w:b/>
    </w:rPr>
  </w:style>
  <w:style w:type="paragraph" w:styleId="ListParagraph">
    <w:name w:val="List Paragraph"/>
    <w:qFormat/>
    <w:basedOn w:val="Normal"/>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1">
    <w:name w:val="Heading 1"/>
    <w:qFormat/>
    <w:basedOn w:val="Normal"/>
    <w:next w:val="Normal"/>
    <w:pPr>
      <w:outlineLvl w:val="0"/>
      <w:spacing w:before="320" w:after="160"/>
    </w:pPr>
    <w:rPr>
      <w:bCs/>
      <w:b/>
      <w:color w:val="1F497D"/>
      <w:rFonts w:ascii="Arial" w:cs="Arial" w:eastAsia="Arial" w:hAnsi="Arial"/>
      <w:sz w:val="32"/>
      <w:szCs w:val="32"/>
    </w:rPr>
  </w:style>
  <w:style w:type="paragraph" w:styleId="Heading22">
    <w:name w:val="Heading 2"/>
    <w:qFormat/>
    <w:basedOn w:val="Normal"/>
    <w:next w:val="Normal"/>
    <w:pPr>
      <w:outlineLvl w:val="1"/>
      <w:spacing w:before="200" w:after="100"/>
    </w:pPr>
    <w:rPr>
      <w:bCs/>
      <w:b/>
      <w:color w:val="2E75B6"/>
      <w:rFonts w:ascii="Arial" w:cs="Arial" w:eastAsia="Arial" w:hAnsi="Arial"/>
      <w:sz w:val="26"/>
      <w:szCs w:val="26"/>
    </w:rPr>
  </w:style>
  <w:style w:type="paragraph" w:default="1" w:styleId="Normal">
    <w:name w:val="Normal"/>
  </w:style>
  <w:style w:type="paragraph" w:styleId="Subtitle">
    <w:name w:val="Subtitle"/>
    <w:basedOn w:val="Normal"/>
    <w:rPr>
      <w:i/>
      <w:color w:val="4F81BD"/>
      <w:sz w:val="24"/>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2026-05-15T05:37:21.067Z</dcterms:created>
  <dcterms:modified xsi:type="dcterms:W3CDTF">2026-05-15T05:37:21.067Z</dcterms:modified>
</cp:coreProperties>
</file>

<file path=docProps/custom.xml><?xml version="1.0" encoding="utf-8"?>
<Properties xmlns="http://schemas.openxmlformats.org/officeDocument/2006/custom-properties" xmlns:vt="http://schemas.openxmlformats.org/officeDocument/2006/docPropsVTypes"/>
</file>