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val="0"/>
          <w:sz w:val="42"/>
        </w:rPr>
        <w:t>CrimeSense: A Unified Crime Hotspot Visualization, Zone Classification and Personal Safety Platform with Pattern Recurrence Analysis for Vellore, India</w:t>
      </w:r>
    </w:p>
    <w:p>
      <w:pPr>
        <w:spacing w:after="40"/>
        <w:jc w:val="center"/>
      </w:pPr>
      <w:r>
        <w:rPr>
          <w:rFonts w:ascii="Times New Roman" w:hAnsi="Times New Roman"/>
          <w:sz w:val="22"/>
        </w:rPr>
        <w:t>Sruthilaya J D, Mahithaa R, Sujeetha S</w:t>
      </w:r>
    </w:p>
    <w:p>
      <w:pPr>
        <w:spacing w:after="40"/>
        <w:jc w:val="center"/>
      </w:pPr>
      <w:r>
        <w:rPr>
          <w:rFonts w:ascii="Times New Roman" w:hAnsi="Times New Roman"/>
          <w:sz w:val="20"/>
        </w:rPr>
        <w:t>24MID0184, 24MID0239, 24MID0163</w:t>
      </w:r>
    </w:p>
    <w:p>
      <w:pPr>
        <w:spacing w:after="200"/>
        <w:jc w:val="center"/>
      </w:pPr>
      <w:r>
        <w:rPr>
          <w:rFonts w:ascii="Times New Roman" w:hAnsi="Times New Roman"/>
          <w:sz w:val="20"/>
        </w:rPr>
        <w:t>School of Computer Science and Engineering, Vellore Institute of Technology, Vellore, Tamil Nadu, India</w:t>
      </w:r>
    </w:p>
    <w:p>
      <w:pPr>
        <w:sectPr>
          <w:pgSz w:w="12240" w:h="15840"/>
          <w:pgMar w:top="1080" w:right="900" w:bottom="1224" w:left="900" w:header="720" w:footer="720" w:gutter="0"/>
          <w:cols w:space="720"/>
          <w:docGrid w:linePitch="360"/>
        </w:sectPr>
      </w:pPr>
    </w:p>
    <w:p>
      <w:pPr>
        <w:spacing w:before="0" w:after="60" w:line="245" w:lineRule="auto"/>
        <w:jc w:val="both"/>
      </w:pPr>
      <w:r>
        <w:rPr>
          <w:rFonts w:ascii="Times New Roman" w:hAnsi="Times New Roman"/>
          <w:b/>
          <w:sz w:val="18"/>
        </w:rPr>
        <w:t xml:space="preserve">Abstract: </w:t>
      </w:r>
      <w:r>
        <w:rPr>
          <w:rFonts w:ascii="Times New Roman" w:hAnsi="Times New Roman"/>
          <w:b/>
          <w:sz w:val="18"/>
        </w:rPr>
        <w:t>This study presents CrimeSense, a system designed to help users explore crime reports in Vellore and examine reported incidents around a selected location. The current system uses an SQLite database containing 596 news-derived incident records and includes an administrative dashboard for viewing and managing these records. The paper introduces an interpretable zone classification model that marks locations green, yellow, or red using spatial and temporal decay. To support pedestrian safety, design specifications are formulated for a pre-visit destination advisory, an OpenStreetMap-based safe haven finder relying on natural surveillance, and an automated red-zone inactivity state machine. In addition, a pattern recurrence formulation applying Knox space-time permutation tests and association rules is described to identify sequential crime trends. Finally, the paper reports database verification audits, role-separated authentication checks, and privacy safeguards conforming to the Indian Digital Personal Data Protection Act, followed by a formal evaluation protocol.</w:t>
      </w:r>
    </w:p>
    <w:p>
      <w:pPr>
        <w:spacing w:before="20" w:after="120"/>
        <w:jc w:val="both"/>
      </w:pPr>
      <w:r>
        <w:rPr>
          <w:rFonts w:ascii="Times New Roman" w:hAnsi="Times New Roman"/>
          <w:b/>
          <w:i/>
          <w:sz w:val="18"/>
        </w:rPr>
        <w:t xml:space="preserve">Keywords: </w:t>
      </w:r>
      <w:r>
        <w:rPr>
          <w:rFonts w:ascii="Times New Roman" w:hAnsi="Times New Roman"/>
          <w:sz w:val="18"/>
        </w:rPr>
        <w:t>crime hotspot visualization, zone classification, near repeat analysis, personal safety application, SOS alerting, news derived crime data, safe haven finder, spatio-temporal risk</w:t>
      </w:r>
    </w:p>
    <w:p>
      <w:pPr>
        <w:keepNext/>
        <w:spacing w:before="160" w:after="60"/>
        <w:jc w:val="center"/>
      </w:pPr>
      <w:r>
        <w:rPr>
          <w:rFonts w:ascii="Times New Roman" w:hAnsi="Times New Roman"/>
          <w:b w:val="0"/>
          <w:sz w:val="20"/>
        </w:rPr>
        <w:t>I. INTRODUCTION</w:t>
      </w:r>
    </w:p>
    <w:p>
      <w:pPr>
        <w:spacing w:before="0" w:after="40" w:line="247" w:lineRule="auto"/>
        <w:ind w:firstLine="202"/>
        <w:jc w:val="both"/>
      </w:pPr>
      <w:r>
        <w:rPr>
          <w:rFonts w:ascii="Times New Roman" w:hAnsi="Times New Roman"/>
          <w:sz w:val="20"/>
        </w:rPr>
        <w:t>Crime is not spread evenly across a city. It clusters on certain streets, dark alleys, and crowded transit hubs [1]. Criminologists have documented this phenomenon for decades [2], [3]. The routine activity perspective shows that predatory offenses happen when a motivated offender encounters a vulnerable target without a capable guardian [3]. In addition, crime pattern theory explains that criminals look for targets along the daily routes they travel between home, work, and recreational spots [4]. Police departments routinely use computer-generated hotspot maps to assign patrol cars to these problem corners [5], [6].</w:t>
      </w:r>
    </w:p>
    <w:p>
      <w:pPr>
        <w:spacing w:before="0" w:after="40" w:line="247" w:lineRule="auto"/>
        <w:ind w:firstLine="202"/>
        <w:jc w:val="both"/>
      </w:pPr>
      <w:r>
        <w:rPr>
          <w:rFonts w:ascii="Times New Roman" w:hAnsi="Times New Roman"/>
          <w:sz w:val="20"/>
        </w:rPr>
        <w:t>Even so, a student or night-shift worker walking alone through Vellore cannot benefit from any of this police data. There are two straightforward reasons for this gap. First, official crime statistics in India are gathered for administrative record-keeping rather than public awareness. The National Crime Records Bureau publishes district totals [7], but those reports aggregate data across entire years and wide regions. They cannot tell someone whether Katpadi railway junction or Bagayam bus stop has a recent history of chain snatchings after 9 PM. Second, existing civilian safety applications are purely reactive [8]. Most commercial tools offer a red SOS button or listen for handset shakes. If someone is surprised, cornered, or physically pinned down, they cannot unlock their screen to tap a button anyway. Worse, these apps possess zero knowledge about whether the user is standing in a quiet residential lane or a recognized danger spot.</w:t>
      </w:r>
    </w:p>
    <w:p>
      <w:pPr>
        <w:spacing w:before="0" w:after="40" w:line="247" w:lineRule="auto"/>
        <w:ind w:firstLine="202"/>
        <w:jc w:val="both"/>
      </w:pPr>
      <w:r>
        <w:rPr>
          <w:rFonts w:ascii="Times New Roman" w:hAnsi="Times New Roman"/>
          <w:sz w:val="20"/>
        </w:rPr>
        <w:t>To address these gaps, a prototype was developed that connects a news-derived crime database to an administrative dashboard and a proposed set of resident-facing safety features. Because city police stations in Tamil Nadu do not provide open API feeds of daily First Information Reports, the dataset was constructed from regional digital news coverage, following data collection practices proven in earlier spatial research [9], [10] while keeping journalistic reporting biases in mind [11]. Two interfaces were built over this shared data layer. The administrative console provides spatial heatmaps, DBSCAN cluster grouping, multi-year charts, user account controls, and emergency alert tables. The proposed resident web interface is designed with an address search bar, a three-color safety badge (green, yellow, or red), an SOS dispatch button, saved places, and privacy switches.</w:t>
      </w:r>
    </w:p>
    <w:p>
      <w:pPr>
        <w:spacing w:before="0" w:after="40" w:line="247" w:lineRule="auto"/>
        <w:ind w:firstLine="202"/>
        <w:jc w:val="both"/>
      </w:pPr>
      <w:r>
        <w:rPr>
          <w:rFonts w:ascii="Times New Roman" w:hAnsi="Times New Roman"/>
          <w:sz w:val="20"/>
        </w:rPr>
        <w:t>This paper carefully differentiates fully verified software components from theoretical modules undergoing validation. Section III presents the system architecture. Section IV reports the current verification status across all components. Section V analyzes the 596-record empirical dataset. Section VI sets out an open evaluation protocol, and Section VII examines ethical implications, data limitations, and privacy compliance. The primary contributions are: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multi-tier architecture linking a 596-record news-derived SQLite database with an administrative GIS console and proposed citizen mobile views.</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transparent spatio-temporal zone classification model that explains local evidence clearly rather than issuing opaque risk scores or declaring any place completely safe.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pattern recurrence formulation combining Knox space-time permutation tests and association rules to detect repeating crime sequences.</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safe haven ranking formulation that evaluates candidate public shelters by operational status, distance, institutional guardianship weight, and surrounding crime exposure.</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An automated emergency escalation state machine design that detects prolonged inactivity within designated high-risk zones.</w:t>
      </w:r>
    </w:p>
    <w:p>
      <w:pPr>
        <w:spacing w:before="0" w:after="30" w:line="245" w:lineRule="auto"/>
        <w:ind w:left="259" w:hanging="173"/>
        <w:jc w:val="both"/>
      </w:pPr>
      <w:r>
        <w:rPr>
          <w:rFonts w:ascii="Times New Roman" w:hAnsi="Times New Roman"/>
          <w:b/>
          <w:sz w:val="19"/>
        </w:rPr>
        <w:t xml:space="preserve">•  </w:t>
      </w:r>
      <w:r>
        <w:rPr>
          <w:rFonts w:ascii="Times New Roman" w:hAnsi="Times New Roman"/>
          <w:sz w:val="19"/>
        </w:rPr>
        <w:t>A documented verification report of the active SQLite database (596 sourced records across 11 tables) and an empirical testing protocol for unvalidated modules.</w:t>
      </w:r>
    </w:p>
    <w:p>
      <w:pPr>
        <w:keepNext/>
        <w:spacing w:before="160" w:after="60"/>
        <w:jc w:val="center"/>
      </w:pPr>
      <w:r>
        <w:rPr>
          <w:rFonts w:ascii="Times New Roman" w:hAnsi="Times New Roman"/>
          <w:b w:val="0"/>
          <w:sz w:val="20"/>
        </w:rPr>
        <w:t>II. RELATED WORK</w:t>
      </w:r>
    </w:p>
    <w:p>
      <w:pPr>
        <w:keepNext/>
        <w:spacing w:before="120" w:after="40"/>
        <w:jc w:val="left"/>
      </w:pPr>
      <w:r>
        <w:rPr>
          <w:rFonts w:ascii="Times New Roman" w:hAnsi="Times New Roman"/>
          <w:i/>
          <w:sz w:val="19"/>
        </w:rPr>
        <w:t>A. Crime Concentration and Hotspot Mapping</w:t>
      </w:r>
    </w:p>
    <w:p>
      <w:pPr>
        <w:spacing w:before="0" w:after="40" w:line="247" w:lineRule="auto"/>
        <w:ind w:firstLine="202"/>
        <w:jc w:val="both"/>
      </w:pPr>
      <w:r>
        <w:rPr>
          <w:rFonts w:ascii="Times New Roman" w:hAnsi="Times New Roman"/>
          <w:sz w:val="20"/>
        </w:rPr>
        <w:t>Decades of field criminology show that urban offenses gather in micro-places [1], [2]. Research teams visualize these concentrations using point maps, regular spatial grids, and kernel density surfaces [5], [12]. Adding time-decay weights to older offenses helps improve short-range hotspot forecasts [13]. Density-based clustering algorithms such as DBSCAN [14] discover irregular incident clusters without forcing points into square cells, treating one-off outliers as noise. Randomized trials demonstrate that stationing police foot patrols at known hotspots noticeably lowers crime rates [6]. However, these GIS systems remain closed inside police stations, offering no guidance to a solitary walker on a dark street.</w:t>
      </w:r>
    </w:p>
    <w:p>
      <w:pPr>
        <w:keepNext/>
        <w:spacing w:before="120" w:after="40"/>
        <w:jc w:val="left"/>
      </w:pPr>
      <w:r>
        <w:rPr>
          <w:rFonts w:ascii="Times New Roman" w:hAnsi="Times New Roman"/>
          <w:i/>
          <w:sz w:val="19"/>
        </w:rPr>
        <w:t>B. Spatial Forecasting and Risk Terrain Modeling</w:t>
      </w:r>
    </w:p>
    <w:p>
      <w:pPr>
        <w:spacing w:before="0" w:after="40" w:line="247" w:lineRule="auto"/>
        <w:ind w:firstLine="202"/>
        <w:jc w:val="both"/>
      </w:pPr>
      <w:r>
        <w:rPr>
          <w:rFonts w:ascii="Times New Roman" w:hAnsi="Times New Roman"/>
          <w:sz w:val="20"/>
        </w:rPr>
        <w:t>Point-process models use self-exciting mathematics borrowed from earthquake aftershock analysis to estimate how one incident temporarily increases nearby crime odds [15]. Risk terrain modeling connects crime probability to physical urban fixtures such as liquor vends, bus terminals, and unlit pathways [16], with meta-analyses confirming its predictive value [17]. Broader surveys of predictive policing [18] and machine learning models [19], [20] point out that almost every published model assumes direct access to detailed municipal police dispatch logs. In India, such logs are simply not available to the public. Because of this limitation, CrimeSense relies on transparent arithmetic weighting formulas and leaves heavy machine learning algorithms for offline benchmarking.</w:t>
      </w:r>
    </w:p>
    <w:p>
      <w:pPr>
        <w:keepNext/>
        <w:spacing w:before="120" w:after="40"/>
        <w:jc w:val="left"/>
      </w:pPr>
      <w:r>
        <w:rPr>
          <w:rFonts w:ascii="Times New Roman" w:hAnsi="Times New Roman"/>
          <w:i/>
          <w:sz w:val="19"/>
        </w:rPr>
        <w:t>C. Repeat and Near-Repeat Victimization</w:t>
      </w:r>
    </w:p>
    <w:p>
      <w:pPr>
        <w:spacing w:before="0" w:after="40" w:line="247" w:lineRule="auto"/>
        <w:ind w:firstLine="202"/>
        <w:jc w:val="both"/>
      </w:pPr>
      <w:r>
        <w:rPr>
          <w:rFonts w:ascii="Times New Roman" w:hAnsi="Times New Roman"/>
          <w:sz w:val="20"/>
        </w:rPr>
        <w:t>The near-repeat hypothesis observes that after a property or street offense occurs, neighboring locations face elevated risk for a short window of time [21]. Applying the Knox space-time interaction test to home burglaries showed that neighboring houses experience heightened risk for roughly three weeks after the initial break-in [22], [23]. Prior research has restricted these findings to academic journals and police briefings. No commercial or open-source mobile safety app was identified that turns near-repeat mathematics into direct pedestrian advice.</w:t>
      </w:r>
    </w:p>
    <w:p>
      <w:pPr>
        <w:keepNext/>
        <w:spacing w:before="120" w:after="40"/>
        <w:jc w:val="left"/>
      </w:pPr>
      <w:r>
        <w:rPr>
          <w:rFonts w:ascii="Times New Roman" w:hAnsi="Times New Roman"/>
          <w:i/>
          <w:sz w:val="19"/>
        </w:rPr>
        <w:t>D. News-Derived Crime Data and Geocoding</w:t>
      </w:r>
    </w:p>
    <w:p>
      <w:pPr>
        <w:spacing w:before="0" w:after="40" w:line="247" w:lineRule="auto"/>
        <w:ind w:firstLine="202"/>
        <w:jc w:val="both"/>
      </w:pPr>
      <w:r>
        <w:rPr>
          <w:rFonts w:ascii="Times New Roman" w:hAnsi="Times New Roman"/>
          <w:sz w:val="20"/>
        </w:rPr>
        <w:t>When police departments do not publish public computer-aided dispatch feeds, online newspapers and social media feeds offer the best alternative records of street crime [9], [10]. While news reports provide useful situational text, they naturally reflect journalistic priorities, giving more attention to sensational or violent events while ignoring routine petty theft [11]. Furthermore, converting descriptive locality names to map coordinates introduces spatial uncertainty [24], making it essential for software systems to indicate geocoding confidence explicitly [25]. These constraints are taken into account directly in the CrimeSense user interface.</w:t>
      </w:r>
    </w:p>
    <w:p>
      <w:pPr>
        <w:keepNext/>
        <w:spacing w:before="120" w:after="40"/>
        <w:jc w:val="left"/>
      </w:pPr>
      <w:r>
        <w:rPr>
          <w:rFonts w:ascii="Times New Roman" w:hAnsi="Times New Roman"/>
          <w:i/>
          <w:sz w:val="19"/>
        </w:rPr>
        <w:t>E. Safe Routing and Environmental Guardianship</w:t>
      </w:r>
    </w:p>
    <w:p>
      <w:pPr>
        <w:spacing w:before="0" w:after="40" w:line="247" w:lineRule="auto"/>
        <w:ind w:firstLine="202"/>
        <w:jc w:val="both"/>
      </w:pPr>
      <w:r>
        <w:rPr>
          <w:rFonts w:ascii="Times New Roman" w:hAnsi="Times New Roman"/>
          <w:sz w:val="20"/>
        </w:rPr>
        <w:t>Previous pedestrian routing studies have framed safe navigation as a graph optimization problem that trades extra walking distance against lower cumulative crime exposure along a route [26]. CrimeSense handles user safety differently. Instead of computing long, winding detour routes, the system provides direct destination risk checks, steers distressed pedestrians toward immediate safe havens, and triggers automated alerts when users become stationary in dangerous areas. The safe haven concept builds directly on Jane Jacobs' observation of natural surveillance, which shows that active commercial street fronts and shop staff act as informal 'eyes on the street' [27]. Oscar Newman's defensible space studies similarly showed that daily human presence discourages criminal opportunity [28]. Candidate safe havens can be gathered from OpenStreetMap [29]. Finally, automated safety systems must avoid reinforcing neighborhood stigma [30], [31], [32], which CrimeSense addresses through neutral language and strict opt-in location tracking.</w:t>
      </w:r>
    </w:p>
    <w:p>
      <w:pPr>
        <w:keepNext/>
        <w:spacing w:before="120" w:after="20"/>
        <w:jc w:val="center"/>
      </w:pPr>
      <w:r>
        <w:rPr>
          <w:rFonts w:ascii="Times New Roman" w:hAnsi="Times New Roman"/>
          <w:sz w:val="16"/>
        </w:rPr>
        <w:t>TABLE I</w:t>
      </w:r>
    </w:p>
    <w:p>
      <w:pPr>
        <w:keepNext/>
        <w:spacing w:before="0" w:after="60"/>
        <w:jc w:val="center"/>
      </w:pPr>
      <w:r>
        <w:rPr>
          <w:rFonts w:ascii="Times New Roman" w:hAnsi="Times New Roman"/>
          <w:sz w:val="15"/>
        </w:rPr>
        <w:t>COMPARISON OF EXISTING LITERATURE CATEGORIES RELATIVE TO CRIMESENSE</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5" w:type="dxa"/>
              <w:bottom w:w="35" w:type="dxa"/>
              <w:left w:w="50" w:type="dxa"/>
              <w:right w:w="50" w:type="dxa"/>
            </w:tcMar>
          </w:tcPr>
          <w:p>
            <w:r>
              <w:rPr>
                <w:rFonts w:ascii="Times New Roman" w:hAnsi="Times New Roman"/>
                <w:b/>
                <w:sz w:val="15"/>
              </w:rPr>
              <w:t>Category</w:t>
            </w:r>
          </w:p>
        </w:tc>
        <w:tc>
          <w:tcPr>
            <w:tcW w:type="dxa" w:w="3480"/>
            <w:tcMar>
              <w:top w:w="35" w:type="dxa"/>
              <w:bottom w:w="35" w:type="dxa"/>
              <w:left w:w="50" w:type="dxa"/>
              <w:right w:w="50" w:type="dxa"/>
            </w:tcMar>
          </w:tcPr>
          <w:p>
            <w:r>
              <w:rPr>
                <w:rFonts w:ascii="Times New Roman" w:hAnsi="Times New Roman"/>
                <w:b/>
                <w:sz w:val="15"/>
              </w:rPr>
              <w:t>Typical Scope</w:t>
            </w:r>
          </w:p>
        </w:tc>
        <w:tc>
          <w:tcPr>
            <w:tcW w:type="dxa" w:w="3480"/>
            <w:tcMar>
              <w:top w:w="35" w:type="dxa"/>
              <w:bottom w:w="35" w:type="dxa"/>
              <w:left w:w="50" w:type="dxa"/>
              <w:right w:w="50" w:type="dxa"/>
            </w:tcMar>
          </w:tcPr>
          <w:p>
            <w:r>
              <w:rPr>
                <w:rFonts w:ascii="Times New Roman" w:hAnsi="Times New Roman"/>
                <w:b/>
                <w:sz w:val="15"/>
              </w:rPr>
              <w:t>Missing Relative to CrimeSense</w:t>
            </w:r>
          </w:p>
        </w:tc>
      </w:tr>
      <w:tr>
        <w:tc>
          <w:tcPr>
            <w:tcW w:type="dxa" w:w="3480"/>
            <w:tcMar>
              <w:top w:w="25" w:type="dxa"/>
              <w:bottom w:w="25" w:type="dxa"/>
              <w:left w:w="45" w:type="dxa"/>
              <w:right w:w="45" w:type="dxa"/>
            </w:tcMar>
          </w:tcPr>
          <w:p>
            <w:r>
              <w:rPr>
                <w:rFonts w:ascii="Times New Roman" w:hAnsi="Times New Roman"/>
                <w:sz w:val="14"/>
              </w:rPr>
              <w:t>Hotspot mapping [5], [13]</w:t>
            </w:r>
          </w:p>
        </w:tc>
        <w:tc>
          <w:tcPr>
            <w:tcW w:type="dxa" w:w="3480"/>
            <w:tcMar>
              <w:top w:w="25" w:type="dxa"/>
              <w:bottom w:w="25" w:type="dxa"/>
              <w:left w:w="45" w:type="dxa"/>
              <w:right w:w="45" w:type="dxa"/>
            </w:tcMar>
          </w:tcPr>
          <w:p>
            <w:r>
              <w:rPr>
                <w:rFonts w:ascii="Times New Roman" w:hAnsi="Times New Roman"/>
                <w:sz w:val="14"/>
              </w:rPr>
              <w:t>Spatial density surfaces for analysts</w:t>
            </w:r>
          </w:p>
        </w:tc>
        <w:tc>
          <w:tcPr>
            <w:tcW w:type="dxa" w:w="3480"/>
            <w:tcMar>
              <w:top w:w="25" w:type="dxa"/>
              <w:bottom w:w="25" w:type="dxa"/>
              <w:left w:w="45" w:type="dxa"/>
              <w:right w:w="45" w:type="dxa"/>
            </w:tcMar>
          </w:tcPr>
          <w:p>
            <w:r>
              <w:rPr>
                <w:rFonts w:ascii="Times New Roman" w:hAnsi="Times New Roman"/>
                <w:sz w:val="14"/>
              </w:rPr>
              <w:t>Resident zone badges and automated warnings</w:t>
            </w:r>
          </w:p>
        </w:tc>
      </w:tr>
      <w:tr>
        <w:tc>
          <w:tcPr>
            <w:tcW w:type="dxa" w:w="3480"/>
            <w:tcMar>
              <w:top w:w="25" w:type="dxa"/>
              <w:bottom w:w="25" w:type="dxa"/>
              <w:left w:w="45" w:type="dxa"/>
              <w:right w:w="45" w:type="dxa"/>
            </w:tcMar>
          </w:tcPr>
          <w:p>
            <w:r>
              <w:rPr>
                <w:rFonts w:ascii="Times New Roman" w:hAnsi="Times New Roman"/>
                <w:sz w:val="14"/>
              </w:rPr>
              <w:t>Forecasting, RTM [15], [16]</w:t>
            </w:r>
          </w:p>
        </w:tc>
        <w:tc>
          <w:tcPr>
            <w:tcW w:type="dxa" w:w="3480"/>
            <w:tcMar>
              <w:top w:w="25" w:type="dxa"/>
              <w:bottom w:w="25" w:type="dxa"/>
              <w:left w:w="45" w:type="dxa"/>
              <w:right w:w="45" w:type="dxa"/>
            </w:tcMar>
          </w:tcPr>
          <w:p>
            <w:r>
              <w:rPr>
                <w:rFonts w:ascii="Times New Roman" w:hAnsi="Times New Roman"/>
                <w:sz w:val="14"/>
              </w:rPr>
              <w:t>Risk surfaces derived from police CAD feeds</w:t>
            </w:r>
          </w:p>
        </w:tc>
        <w:tc>
          <w:tcPr>
            <w:tcW w:type="dxa" w:w="3480"/>
            <w:tcMar>
              <w:top w:w="25" w:type="dxa"/>
              <w:bottom w:w="25" w:type="dxa"/>
              <w:left w:w="45" w:type="dxa"/>
              <w:right w:w="45" w:type="dxa"/>
            </w:tcMar>
          </w:tcPr>
          <w:p>
            <w:r>
              <w:rPr>
                <w:rFonts w:ascii="Times New Roman" w:hAnsi="Times New Roman"/>
                <w:sz w:val="14"/>
              </w:rPr>
              <w:t>Civilian interface, news scale adaptation, dwell alerts</w:t>
            </w:r>
          </w:p>
        </w:tc>
      </w:tr>
      <w:tr>
        <w:tc>
          <w:tcPr>
            <w:tcW w:type="dxa" w:w="3480"/>
            <w:tcMar>
              <w:top w:w="25" w:type="dxa"/>
              <w:bottom w:w="25" w:type="dxa"/>
              <w:left w:w="45" w:type="dxa"/>
              <w:right w:w="45" w:type="dxa"/>
            </w:tcMar>
          </w:tcPr>
          <w:p>
            <w:r>
              <w:rPr>
                <w:rFonts w:ascii="Times New Roman" w:hAnsi="Times New Roman"/>
                <w:sz w:val="14"/>
              </w:rPr>
              <w:t>Near repeat analysis [21], [22]</w:t>
            </w:r>
          </w:p>
        </w:tc>
        <w:tc>
          <w:tcPr>
            <w:tcW w:type="dxa" w:w="3480"/>
            <w:tcMar>
              <w:top w:w="25" w:type="dxa"/>
              <w:bottom w:w="25" w:type="dxa"/>
              <w:left w:w="45" w:type="dxa"/>
              <w:right w:w="45" w:type="dxa"/>
            </w:tcMar>
          </w:tcPr>
          <w:p>
            <w:r>
              <w:rPr>
                <w:rFonts w:ascii="Times New Roman" w:hAnsi="Times New Roman"/>
                <w:sz w:val="14"/>
              </w:rPr>
              <w:t>Space-time clustering on burglary data</w:t>
            </w:r>
          </w:p>
        </w:tc>
        <w:tc>
          <w:tcPr>
            <w:tcW w:type="dxa" w:w="3480"/>
            <w:tcMar>
              <w:top w:w="25" w:type="dxa"/>
              <w:bottom w:w="25" w:type="dxa"/>
              <w:left w:w="45" w:type="dxa"/>
              <w:right w:w="45" w:type="dxa"/>
            </w:tcMar>
          </w:tcPr>
          <w:p>
            <w:r>
              <w:rPr>
                <w:rFonts w:ascii="Times New Roman" w:hAnsi="Times New Roman"/>
                <w:sz w:val="14"/>
              </w:rPr>
              <w:t>Delivery of recurring crime patterns to mobile users</w:t>
            </w:r>
          </w:p>
        </w:tc>
      </w:tr>
      <w:tr>
        <w:tc>
          <w:tcPr>
            <w:tcW w:type="dxa" w:w="3480"/>
            <w:tcMar>
              <w:top w:w="25" w:type="dxa"/>
              <w:bottom w:w="25" w:type="dxa"/>
              <w:left w:w="45" w:type="dxa"/>
              <w:right w:w="45" w:type="dxa"/>
            </w:tcMar>
          </w:tcPr>
          <w:p>
            <w:r>
              <w:rPr>
                <w:rFonts w:ascii="Times New Roman" w:hAnsi="Times New Roman"/>
                <w:sz w:val="14"/>
              </w:rPr>
              <w:t>News derived crime [9], [10]</w:t>
            </w:r>
          </w:p>
        </w:tc>
        <w:tc>
          <w:tcPr>
            <w:tcW w:type="dxa" w:w="3480"/>
            <w:tcMar>
              <w:top w:w="25" w:type="dxa"/>
              <w:bottom w:w="25" w:type="dxa"/>
              <w:left w:w="45" w:type="dxa"/>
              <w:right w:w="45" w:type="dxa"/>
            </w:tcMar>
          </w:tcPr>
          <w:p>
            <w:r>
              <w:rPr>
                <w:rFonts w:ascii="Times New Roman" w:hAnsi="Times New Roman"/>
                <w:sz w:val="14"/>
              </w:rPr>
              <w:t>Text extraction and incident harvesting</w:t>
            </w:r>
          </w:p>
        </w:tc>
        <w:tc>
          <w:tcPr>
            <w:tcW w:type="dxa" w:w="3480"/>
            <w:tcMar>
              <w:top w:w="25" w:type="dxa"/>
              <w:bottom w:w="25" w:type="dxa"/>
              <w:left w:w="45" w:type="dxa"/>
              <w:right w:w="45" w:type="dxa"/>
            </w:tcMar>
          </w:tcPr>
          <w:p>
            <w:r>
              <w:rPr>
                <w:rFonts w:ascii="Times New Roman" w:hAnsi="Times New Roman"/>
                <w:sz w:val="14"/>
              </w:rPr>
              <w:t>Zone classification, haven recovery, emergency dispatch</w:t>
            </w:r>
          </w:p>
        </w:tc>
      </w:tr>
      <w:tr>
        <w:tc>
          <w:tcPr>
            <w:tcW w:type="dxa" w:w="3480"/>
            <w:tcMar>
              <w:top w:w="25" w:type="dxa"/>
              <w:bottom w:w="25" w:type="dxa"/>
              <w:left w:w="45" w:type="dxa"/>
              <w:right w:w="45" w:type="dxa"/>
            </w:tcMar>
          </w:tcPr>
          <w:p>
            <w:r>
              <w:rPr>
                <w:rFonts w:ascii="Times New Roman" w:hAnsi="Times New Roman"/>
                <w:sz w:val="14"/>
              </w:rPr>
              <w:t>Safe routing [26]</w:t>
            </w:r>
          </w:p>
        </w:tc>
        <w:tc>
          <w:tcPr>
            <w:tcW w:type="dxa" w:w="3480"/>
            <w:tcMar>
              <w:top w:w="25" w:type="dxa"/>
              <w:bottom w:w="25" w:type="dxa"/>
              <w:left w:w="45" w:type="dxa"/>
              <w:right w:w="45" w:type="dxa"/>
            </w:tcMar>
          </w:tcPr>
          <w:p>
            <w:r>
              <w:rPr>
                <w:rFonts w:ascii="Times New Roman" w:hAnsi="Times New Roman"/>
                <w:sz w:val="14"/>
              </w:rPr>
              <w:t>Distance versus path risk trade-offs</w:t>
            </w:r>
          </w:p>
        </w:tc>
        <w:tc>
          <w:tcPr>
            <w:tcW w:type="dxa" w:w="3480"/>
            <w:tcMar>
              <w:top w:w="25" w:type="dxa"/>
              <w:bottom w:w="25" w:type="dxa"/>
              <w:left w:w="45" w:type="dxa"/>
              <w:right w:w="45" w:type="dxa"/>
            </w:tcMar>
          </w:tcPr>
          <w:p>
            <w:r>
              <w:rPr>
                <w:rFonts w:ascii="Times New Roman" w:hAnsi="Times New Roman"/>
                <w:sz w:val="14"/>
              </w:rPr>
              <w:t>Immediate haven recovery, dwell alerts, analyst views</w:t>
            </w:r>
          </w:p>
        </w:tc>
      </w:tr>
      <w:tr>
        <w:tc>
          <w:tcPr>
            <w:tcW w:type="dxa" w:w="3480"/>
            <w:tcMar>
              <w:top w:w="25" w:type="dxa"/>
              <w:bottom w:w="25" w:type="dxa"/>
              <w:left w:w="45" w:type="dxa"/>
              <w:right w:w="45" w:type="dxa"/>
            </w:tcMar>
          </w:tcPr>
          <w:p>
            <w:r>
              <w:rPr>
                <w:rFonts w:ascii="Times New Roman" w:hAnsi="Times New Roman"/>
                <w:sz w:val="14"/>
              </w:rPr>
              <w:t>Panic button apps [8]</w:t>
            </w:r>
          </w:p>
        </w:tc>
        <w:tc>
          <w:tcPr>
            <w:tcW w:type="dxa" w:w="3480"/>
            <w:tcMar>
              <w:top w:w="25" w:type="dxa"/>
              <w:bottom w:w="25" w:type="dxa"/>
              <w:left w:w="45" w:type="dxa"/>
              <w:right w:w="45" w:type="dxa"/>
            </w:tcMar>
          </w:tcPr>
          <w:p>
            <w:r>
              <w:rPr>
                <w:rFonts w:ascii="Times New Roman" w:hAnsi="Times New Roman"/>
                <w:sz w:val="14"/>
              </w:rPr>
              <w:t>Physical trigger sending location SMS</w:t>
            </w:r>
          </w:p>
        </w:tc>
        <w:tc>
          <w:tcPr>
            <w:tcW w:type="dxa" w:w="3480"/>
            <w:tcMar>
              <w:top w:w="25" w:type="dxa"/>
              <w:bottom w:w="25" w:type="dxa"/>
              <w:left w:w="45" w:type="dxa"/>
              <w:right w:w="45" w:type="dxa"/>
            </w:tcMar>
          </w:tcPr>
          <w:p>
            <w:r>
              <w:rPr>
                <w:rFonts w:ascii="Times New Roman" w:hAnsi="Times New Roman"/>
                <w:sz w:val="14"/>
              </w:rPr>
              <w:t>Area risk intelligence, automated dwell escalation, analytics</w:t>
            </w:r>
          </w:p>
        </w:tc>
      </w:tr>
    </w:tbl>
    <w:p>
      <w:pPr>
        <w:spacing w:before="0" w:after="40" w:line="247" w:lineRule="auto"/>
        <w:ind w:firstLine="202"/>
        <w:jc w:val="both"/>
      </w:pPr>
      <w:r>
        <w:rPr>
          <w:rFonts w:ascii="Times New Roman" w:hAnsi="Times New Roman"/>
          <w:sz w:val="20"/>
        </w:rPr>
        <w:t>Table I groups prior studies by their primary focus, including hotspot mapping, forecasting, near-repeat analysis, and safety applications. These categories help explain how CrimeSense combines crime visualization with resident-facing features.</w:t>
      </w:r>
    </w:p>
    <w:p>
      <w:pPr>
        <w:keepNext/>
        <w:spacing w:before="160" w:after="60"/>
        <w:jc w:val="center"/>
      </w:pPr>
      <w:r>
        <w:rPr>
          <w:rFonts w:ascii="Times New Roman" w:hAnsi="Times New Roman"/>
          <w:b w:val="0"/>
          <w:sz w:val="20"/>
        </w:rPr>
        <w:t>III. SYSTEM DESIGN</w:t>
      </w:r>
    </w:p>
    <w:p>
      <w:pPr>
        <w:keepNext/>
        <w:spacing w:before="120" w:after="40"/>
        <w:jc w:val="left"/>
      </w:pPr>
      <w:r>
        <w:rPr>
          <w:rFonts w:ascii="Times New Roman" w:hAnsi="Times New Roman"/>
          <w:i/>
          <w:sz w:val="19"/>
        </w:rPr>
        <w:t>A. Architecture Overview</w:t>
      </w:r>
    </w:p>
    <w:p>
      <w:pPr>
        <w:spacing w:before="0" w:after="40" w:line="247" w:lineRule="auto"/>
        <w:ind w:firstLine="202"/>
        <w:jc w:val="both"/>
      </w:pPr>
      <w:r>
        <w:rPr>
          <w:rFonts w:ascii="Times New Roman" w:hAnsi="Times New Roman"/>
          <w:sz w:val="20"/>
        </w:rPr>
        <w:t>CrimeSense is built as a multi-tier web application consisting of a frontend interface tier, a Flask REST API tier, a business logic service layer, an SQLite database, and an offline news processing pipeline (Fig. 1). The frontend serves both the mobile resident view and the administrative console from a single codebase. Both communicate over HTTPS with Flask, which enforces role permissions, validates Google OAuth tokens, and records audit logs for administrative queries. All backend services read and write to an SQLite database running with Write Ahead Logging turned on.</w:t>
      </w:r>
    </w:p>
    <w:p>
      <w:pPr>
        <w:keepNext/>
        <w:spacing w:before="80" w:after="40"/>
        <w:jc w:val="center"/>
      </w:pPr>
      <w:r>
        <w:drawing>
          <wp:inline xmlns:a="http://schemas.openxmlformats.org/drawingml/2006/main" xmlns:pic="http://schemas.openxmlformats.org/drawingml/2006/picture">
            <wp:extent cx="3063240" cy="197932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1979324"/>
                    </a:xfrm>
                    <a:prstGeom prst="rect"/>
                  </pic:spPr>
                </pic:pic>
              </a:graphicData>
            </a:graphic>
          </wp:inline>
        </w:drawing>
      </w:r>
    </w:p>
    <w:p>
      <w:pPr>
        <w:spacing w:before="0" w:after="100" w:line="240" w:lineRule="auto"/>
        <w:jc w:val="left"/>
      </w:pPr>
      <w:r>
        <w:rPr>
          <w:rFonts w:ascii="Times New Roman" w:hAnsi="Times New Roman"/>
          <w:b w:val="0"/>
          <w:sz w:val="16"/>
        </w:rPr>
        <w:t xml:space="preserve">Fig. 1. </w:t>
      </w:r>
      <w:r>
        <w:rPr>
          <w:rFonts w:ascii="Times New Roman" w:hAnsi="Times New Roman"/>
          <w:sz w:val="16"/>
        </w:rPr>
        <w:t>System architecture of CrimeSense. Solid boxes show verified modules; dashed boxes mark proposed components.</w:t>
      </w:r>
    </w:p>
    <w:p>
      <w:pPr>
        <w:keepNext/>
        <w:spacing w:before="120" w:after="40"/>
        <w:jc w:val="left"/>
      </w:pPr>
      <w:r>
        <w:rPr>
          <w:rFonts w:ascii="Times New Roman" w:hAnsi="Times New Roman"/>
          <w:i/>
          <w:sz w:val="19"/>
        </w:rPr>
        <w:t>B. Data Acquisition, Schema, and Role Separation</w:t>
      </w:r>
    </w:p>
    <w:p>
      <w:pPr>
        <w:spacing w:before="0" w:after="40" w:line="247" w:lineRule="auto"/>
        <w:ind w:firstLine="202"/>
        <w:jc w:val="both"/>
      </w:pPr>
      <w:r>
        <w:rPr>
          <w:rFonts w:ascii="Times New Roman" w:hAnsi="Times New Roman"/>
          <w:sz w:val="20"/>
        </w:rPr>
        <w:t>Incident records are collected from verified regional news articles. An offline Python script standardizes crime names, discards duplicates, geocodes named localities, assigns severity ratings, and loads the records into SQLite. Fig. 2 illustrates this processing pipeline. Records whose locality cannot be resolved to coordinates are not discarded; instead, they are carried forward with an explicit uncertainty flag in the location_confidence column. The crimes table stores original news URLs, geocoding confidence levels, and locality tags to ensure full source provenance. Any crime entered by an administrator writes to this same table and generates a timestamped audit entry.</w:t>
      </w:r>
    </w:p>
    <w:p>
      <w:pPr>
        <w:spacing w:before="0" w:after="40" w:line="247" w:lineRule="auto"/>
        <w:ind w:firstLine="202"/>
        <w:jc w:val="both"/>
      </w:pPr>
      <w:r>
        <w:rPr>
          <w:rFonts w:ascii="Times New Roman" w:hAnsi="Times New Roman"/>
          <w:sz w:val="20"/>
        </w:rPr>
        <w:t>The remaining ten tables manage user accounts, settings, and safety interactions. User rows store names, verified email addresses, password hashes, optional Google identifiers, roles, and account status flags. Related tables track user preferences, emergency contacts, saved places, location heartbeats, red-zone dwell states, and dispatched SOS alerts. Application middleware ensures residents can only access their own records, while administrative routes block unprivileged accounts.</w:t>
      </w:r>
    </w:p>
    <w:p>
      <w:pPr>
        <w:keepNext/>
        <w:spacing w:before="80" w:after="40"/>
        <w:jc w:val="center"/>
      </w:pPr>
      <w:r>
        <w:drawing>
          <wp:inline xmlns:a="http://schemas.openxmlformats.org/drawingml/2006/main" xmlns:pic="http://schemas.openxmlformats.org/drawingml/2006/picture">
            <wp:extent cx="3063240" cy="4737236"/>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3063240" cy="4737236"/>
                    </a:xfrm>
                    <a:prstGeom prst="rect"/>
                  </pic:spPr>
                </pic:pic>
              </a:graphicData>
            </a:graphic>
          </wp:inline>
        </w:drawing>
      </w:r>
    </w:p>
    <w:p>
      <w:pPr>
        <w:spacing w:before="0" w:after="100" w:line="240" w:lineRule="auto"/>
        <w:jc w:val="left"/>
      </w:pPr>
      <w:r>
        <w:rPr>
          <w:rFonts w:ascii="Times New Roman" w:hAnsi="Times New Roman"/>
          <w:b w:val="0"/>
          <w:sz w:val="16"/>
        </w:rPr>
        <w:t xml:space="preserve">Fig. 2. </w:t>
      </w:r>
      <w:r>
        <w:rPr>
          <w:rFonts w:ascii="Times New Roman" w:hAnsi="Times New Roman"/>
          <w:sz w:val="16"/>
        </w:rPr>
        <w:t>CrimeSense processing pipeline. Records with unresolved locality are carried forward with uncertainty flags.</w:t>
      </w:r>
    </w:p>
    <w:p>
      <w:pPr>
        <w:keepNext/>
        <w:spacing w:before="120" w:after="40"/>
        <w:jc w:val="left"/>
      </w:pPr>
      <w:r>
        <w:rPr>
          <w:rFonts w:ascii="Times New Roman" w:hAnsi="Times New Roman"/>
          <w:i/>
          <w:sz w:val="19"/>
        </w:rPr>
        <w:t>C. Zone Classification (Green, Yellow, Red)</w:t>
      </w:r>
    </w:p>
    <w:p>
      <w:pPr>
        <w:spacing w:before="0" w:after="40" w:line="247" w:lineRule="auto"/>
        <w:ind w:firstLine="202"/>
        <w:jc w:val="both"/>
      </w:pPr>
      <w:r>
        <w:rPr>
          <w:rFonts w:ascii="Times New Roman" w:hAnsi="Times New Roman"/>
          <w:sz w:val="20"/>
        </w:rPr>
        <w:t>The zone service measures crime exposure for an arbitrary coordinate q (such as a GPS fix, searched address, or map click). Fig. 3 traces this evaluation pipeline. A bounding box filter first prunes distant incidents, followed by great-circle distance calculation using the Haversine equation [33]:</w:t>
      </w:r>
    </w:p>
    <w:p>
      <w:pPr>
        <w:spacing w:before="40" w:after="40"/>
        <w:jc w:val="both"/>
      </w:pPr>
      <w:r>
        <w:rPr>
          <w:rFonts w:ascii="Times New Roman" w:hAnsi="Times New Roman"/>
          <w:i/>
          <w:sz w:val="18"/>
        </w:rPr>
        <w:t xml:space="preserve">   d = 2R arcsin √( sin²(Δφ/2) + cos φ₁ cos φ₂ sin²(Δλ/2) )</w:t>
      </w:r>
      <w:r>
        <w:rPr>
          <w:rFonts w:ascii="Times New Roman" w:hAnsi="Times New Roman"/>
          <w:i w:val="0"/>
          <w:sz w:val="18"/>
        </w:rPr>
        <w:tab/>
        <w:t>(1)</w:t>
      </w:r>
    </w:p>
    <w:p>
      <w:pPr>
        <w:spacing w:before="0" w:after="40" w:line="247" w:lineRule="auto"/>
        <w:ind w:firstLine="202"/>
        <w:jc w:val="both"/>
      </w:pPr>
      <w:r>
        <w:rPr>
          <w:rFonts w:ascii="Times New Roman" w:hAnsi="Times New Roman"/>
          <w:sz w:val="20"/>
        </w:rPr>
        <w:t>where R is Earth's mean radius (6371 km). For incidents within search radius ρ, each record i contributes a risk increment based on its severity rating s_i, distance d_i, and age a_i. Total raw risk R(q) is calculated as:</w:t>
      </w:r>
    </w:p>
    <w:p>
      <w:pPr>
        <w:spacing w:before="40" w:after="40"/>
        <w:jc w:val="both"/>
      </w:pPr>
      <w:r>
        <w:rPr>
          <w:rFonts w:ascii="Times New Roman" w:hAnsi="Times New Roman"/>
          <w:i/>
          <w:sz w:val="18"/>
        </w:rPr>
        <w:t xml:space="preserve">   R(q) = Σ_{i ∈ N(q)} s_i · δ(d_i) · w(a_i),   δ(d) = 1 − d/ρ</w:t>
      </w:r>
      <w:r>
        <w:rPr>
          <w:rFonts w:ascii="Times New Roman" w:hAnsi="Times New Roman"/>
          <w:i w:val="0"/>
          <w:sz w:val="18"/>
        </w:rPr>
        <w:tab/>
        <w:t>(2)</w:t>
      </w:r>
    </w:p>
    <w:p>
      <w:pPr>
        <w:spacing w:before="0" w:after="40" w:line="247" w:lineRule="auto"/>
        <w:ind w:firstLine="202"/>
        <w:jc w:val="both"/>
      </w:pPr>
      <w:r>
        <w:rPr>
          <w:rFonts w:ascii="Times New Roman" w:hAnsi="Times New Roman"/>
          <w:sz w:val="20"/>
        </w:rPr>
        <w:t>where w(a) applies step-down weights based on the age of the report (1.0 for incidents within 6 months, 0.7 for 6 to 24 months, and 0.4 for older records). The raw risk R(q) is then normalized against a reference saturation constant R_ref:</w:t>
      </w:r>
    </w:p>
    <w:p>
      <w:pPr>
        <w:spacing w:before="40" w:after="40"/>
        <w:jc w:val="both"/>
      </w:pPr>
      <w:r>
        <w:rPr>
          <w:rFonts w:ascii="Times New Roman" w:hAnsi="Times New Roman"/>
          <w:i/>
          <w:sz w:val="18"/>
        </w:rPr>
        <w:t xml:space="preserve">   Z(q) = min{100, 100 · R(q) / R_ref}</w:t>
      </w:r>
      <w:r>
        <w:rPr>
          <w:rFonts w:ascii="Times New Roman" w:hAnsi="Times New Roman"/>
          <w:i w:val="0"/>
          <w:sz w:val="18"/>
        </w:rPr>
        <w:tab/>
        <w:t>(3)</w:t>
      </w:r>
    </w:p>
    <w:p>
      <w:pPr>
        <w:spacing w:before="0" w:after="40" w:line="247" w:lineRule="auto"/>
        <w:ind w:firstLine="202"/>
        <w:jc w:val="both"/>
      </w:pPr>
      <w:r>
        <w:rPr>
          <w:rFonts w:ascii="Times New Roman" w:hAnsi="Times New Roman"/>
          <w:sz w:val="20"/>
        </w:rPr>
        <w:t>and map the resulting score Z(q) into three practical safety badges (Table II). In the current running prototype, raw risk is clamped directly to 100 (R_ref = 100). Because 469 incidents sit at the primary Vellore centroid where raw risk exceeds 1900, the score reaches the saturation ceiling of 100.0 (Red); empirical calibration of R_ref (Section VI) is required to restore variance across dense zones. If no incidents exist within radius ρ, CrimeSense displays green alongside an explicit low data confidence note, reminding the user that lack of news coverage is not the same as guaranteed physical safety. The API response returns incident counts, top crime types, the nearest recorded incident, and direct source links.</w:t>
      </w:r>
    </w:p>
    <w:p>
      <w:pPr>
        <w:keepNext/>
        <w:spacing w:before="80" w:after="40"/>
        <w:jc w:val="center"/>
      </w:pPr>
      <w:r>
        <w:drawing>
          <wp:inline xmlns:a="http://schemas.openxmlformats.org/drawingml/2006/main" xmlns:pic="http://schemas.openxmlformats.org/drawingml/2006/picture">
            <wp:extent cx="3063240" cy="1976284"/>
            <wp:docPr id="3" name="Picture 3"/>
            <wp:cNvGraphicFramePr>
              <a:graphicFrameLocks noChangeAspect="1"/>
            </wp:cNvGraphicFramePr>
            <a:graphic>
              <a:graphicData uri="http://schemas.openxmlformats.org/drawingml/2006/picture">
                <pic:pic>
                  <pic:nvPicPr>
                    <pic:cNvPr id="0" name="fig3_zone_pipeline.png"/>
                    <pic:cNvPicPr/>
                  </pic:nvPicPr>
                  <pic:blipFill>
                    <a:blip r:embed="rId11"/>
                    <a:stretch>
                      <a:fillRect/>
                    </a:stretch>
                  </pic:blipFill>
                  <pic:spPr>
                    <a:xfrm>
                      <a:off x="0" y="0"/>
                      <a:ext cx="3063240" cy="1976284"/>
                    </a:xfrm>
                    <a:prstGeom prst="rect"/>
                  </pic:spPr>
                </pic:pic>
              </a:graphicData>
            </a:graphic>
          </wp:inline>
        </w:drawing>
      </w:r>
    </w:p>
    <w:p>
      <w:pPr>
        <w:spacing w:before="0" w:after="100" w:line="240" w:lineRule="auto"/>
        <w:jc w:val="left"/>
      </w:pPr>
      <w:r>
        <w:rPr>
          <w:rFonts w:ascii="Times New Roman" w:hAnsi="Times New Roman"/>
          <w:b w:val="0"/>
          <w:sz w:val="16"/>
        </w:rPr>
        <w:t xml:space="preserve">Fig. 3. </w:t>
      </w:r>
      <w:r>
        <w:rPr>
          <w:rFonts w:ascii="Times New Roman" w:hAnsi="Times New Roman"/>
          <w:sz w:val="16"/>
        </w:rPr>
        <w:t>Zone classification pipeline for an arbitrary query coordinate.</w:t>
      </w:r>
    </w:p>
    <w:p>
      <w:pPr>
        <w:keepNext/>
        <w:spacing w:before="120" w:after="20"/>
        <w:jc w:val="center"/>
      </w:pPr>
      <w:r>
        <w:rPr>
          <w:rFonts w:ascii="Times New Roman" w:hAnsi="Times New Roman"/>
          <w:sz w:val="16"/>
        </w:rPr>
        <w:t>TABLE II</w:t>
      </w:r>
    </w:p>
    <w:p>
      <w:pPr>
        <w:keepNext/>
        <w:spacing w:before="0" w:after="60"/>
        <w:jc w:val="center"/>
      </w:pPr>
      <w:r>
        <w:rPr>
          <w:rFonts w:ascii="Times New Roman" w:hAnsi="Times New Roman"/>
          <w:sz w:val="15"/>
        </w:rPr>
        <w:t>ZONE MODEL PARAMETERS AND BASELINE CONFIGURATION</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Parameter</w:t>
            </w:r>
          </w:p>
        </w:tc>
        <w:tc>
          <w:tcPr>
            <w:tcW w:type="dxa" w:w="3480"/>
            <w:tcMar>
              <w:top w:w="30" w:type="dxa"/>
              <w:bottom w:w="30" w:type="dxa"/>
              <w:left w:w="50" w:type="dxa"/>
              <w:right w:w="50" w:type="dxa"/>
            </w:tcMar>
          </w:tcPr>
          <w:p>
            <w:r>
              <w:rPr>
                <w:rFonts w:ascii="Times New Roman" w:hAnsi="Times New Roman"/>
                <w:b/>
                <w:sz w:val="15"/>
              </w:rPr>
              <w:t>Symbol</w:t>
            </w:r>
          </w:p>
        </w:tc>
        <w:tc>
          <w:tcPr>
            <w:tcW w:type="dxa" w:w="3480"/>
            <w:tcMar>
              <w:top w:w="30" w:type="dxa"/>
              <w:bottom w:w="30" w:type="dxa"/>
              <w:left w:w="50" w:type="dxa"/>
              <w:right w:w="50" w:type="dxa"/>
            </w:tcMar>
          </w:tcPr>
          <w:p>
            <w:r>
              <w:rPr>
                <w:rFonts w:ascii="Times New Roman" w:hAnsi="Times New Roman"/>
                <w:b/>
                <w:sz w:val="15"/>
              </w:rPr>
              <w:t>Default Rule</w:t>
            </w:r>
          </w:p>
        </w:tc>
      </w:tr>
      <w:tr>
        <w:tc>
          <w:tcPr>
            <w:tcW w:type="dxa" w:w="3480"/>
            <w:tcMar>
              <w:top w:w="25" w:type="dxa"/>
              <w:bottom w:w="25" w:type="dxa"/>
              <w:left w:w="45" w:type="dxa"/>
              <w:right w:w="45" w:type="dxa"/>
            </w:tcMar>
          </w:tcPr>
          <w:p>
            <w:r>
              <w:rPr>
                <w:rFonts w:ascii="Times New Roman" w:hAnsi="Times New Roman"/>
                <w:sz w:val="14"/>
              </w:rPr>
              <w:t>Search radius</w:t>
            </w:r>
          </w:p>
        </w:tc>
        <w:tc>
          <w:tcPr>
            <w:tcW w:type="dxa" w:w="3480"/>
            <w:tcMar>
              <w:top w:w="25" w:type="dxa"/>
              <w:bottom w:w="25" w:type="dxa"/>
              <w:left w:w="45" w:type="dxa"/>
              <w:right w:w="45" w:type="dxa"/>
            </w:tcMar>
          </w:tcPr>
          <w:p>
            <w:r>
              <w:rPr>
                <w:rFonts w:ascii="Times New Roman" w:hAnsi="Times New Roman"/>
                <w:sz w:val="14"/>
              </w:rPr>
              <w:t>ρ</w:t>
            </w:r>
          </w:p>
        </w:tc>
        <w:tc>
          <w:tcPr>
            <w:tcW w:type="dxa" w:w="3480"/>
            <w:tcMar>
              <w:top w:w="25" w:type="dxa"/>
              <w:bottom w:w="25" w:type="dxa"/>
              <w:left w:w="45" w:type="dxa"/>
              <w:right w:w="45" w:type="dxa"/>
            </w:tcMar>
          </w:tcPr>
          <w:p>
            <w:r>
              <w:rPr>
                <w:rFonts w:ascii="Times New Roman" w:hAnsi="Times New Roman"/>
                <w:sz w:val="14"/>
              </w:rPr>
              <w:t>1000 m (user adjustable 500–1000 m)</w:t>
            </w:r>
          </w:p>
        </w:tc>
      </w:tr>
      <w:tr>
        <w:tc>
          <w:tcPr>
            <w:tcW w:type="dxa" w:w="3480"/>
            <w:tcMar>
              <w:top w:w="25" w:type="dxa"/>
              <w:bottom w:w="25" w:type="dxa"/>
              <w:left w:w="45" w:type="dxa"/>
              <w:right w:w="45" w:type="dxa"/>
            </w:tcMar>
          </w:tcPr>
          <w:p>
            <w:r>
              <w:rPr>
                <w:rFonts w:ascii="Times New Roman" w:hAnsi="Times New Roman"/>
                <w:sz w:val="14"/>
              </w:rPr>
              <w:t>Severity score</w:t>
            </w:r>
          </w:p>
        </w:tc>
        <w:tc>
          <w:tcPr>
            <w:tcW w:type="dxa" w:w="3480"/>
            <w:tcMar>
              <w:top w:w="25" w:type="dxa"/>
              <w:bottom w:w="25" w:type="dxa"/>
              <w:left w:w="45" w:type="dxa"/>
              <w:right w:w="45" w:type="dxa"/>
            </w:tcMar>
          </w:tcPr>
          <w:p>
            <w:r>
              <w:rPr>
                <w:rFonts w:ascii="Times New Roman" w:hAnsi="Times New Roman"/>
                <w:sz w:val="14"/>
              </w:rPr>
              <w:t>s</w:t>
            </w:r>
          </w:p>
        </w:tc>
        <w:tc>
          <w:tcPr>
            <w:tcW w:type="dxa" w:w="3480"/>
            <w:tcMar>
              <w:top w:w="25" w:type="dxa"/>
              <w:bottom w:w="25" w:type="dxa"/>
              <w:left w:w="45" w:type="dxa"/>
              <w:right w:w="45" w:type="dxa"/>
            </w:tcMar>
          </w:tcPr>
          <w:p>
            <w:r>
              <w:rPr>
                <w:rFonts w:ascii="Times New Roman" w:hAnsi="Times New Roman"/>
                <w:sz w:val="14"/>
              </w:rPr>
              <w:t>2–10 based on crime category table</w:t>
            </w:r>
          </w:p>
        </w:tc>
      </w:tr>
      <w:tr>
        <w:tc>
          <w:tcPr>
            <w:tcW w:type="dxa" w:w="3480"/>
            <w:tcMar>
              <w:top w:w="25" w:type="dxa"/>
              <w:bottom w:w="25" w:type="dxa"/>
              <w:left w:w="45" w:type="dxa"/>
              <w:right w:w="45" w:type="dxa"/>
            </w:tcMar>
          </w:tcPr>
          <w:p>
            <w:r>
              <w:rPr>
                <w:rFonts w:ascii="Times New Roman" w:hAnsi="Times New Roman"/>
                <w:sz w:val="14"/>
              </w:rPr>
              <w:t>Distance decay</w:t>
            </w:r>
          </w:p>
        </w:tc>
        <w:tc>
          <w:tcPr>
            <w:tcW w:type="dxa" w:w="3480"/>
            <w:tcMar>
              <w:top w:w="25" w:type="dxa"/>
              <w:bottom w:w="25" w:type="dxa"/>
              <w:left w:w="45" w:type="dxa"/>
              <w:right w:w="45" w:type="dxa"/>
            </w:tcMar>
          </w:tcPr>
          <w:p>
            <w:r>
              <w:rPr>
                <w:rFonts w:ascii="Times New Roman" w:hAnsi="Times New Roman"/>
                <w:sz w:val="14"/>
              </w:rPr>
              <w:t>δ(d)</w:t>
            </w:r>
          </w:p>
        </w:tc>
        <w:tc>
          <w:tcPr>
            <w:tcW w:type="dxa" w:w="3480"/>
            <w:tcMar>
              <w:top w:w="25" w:type="dxa"/>
              <w:bottom w:w="25" w:type="dxa"/>
              <w:left w:w="45" w:type="dxa"/>
              <w:right w:w="45" w:type="dxa"/>
            </w:tcMar>
          </w:tcPr>
          <w:p>
            <w:r>
              <w:rPr>
                <w:rFonts w:ascii="Times New Roman" w:hAnsi="Times New Roman"/>
                <w:sz w:val="14"/>
              </w:rPr>
              <w:t>Linear: 1 − d/ρ</w:t>
            </w:r>
          </w:p>
        </w:tc>
      </w:tr>
      <w:tr>
        <w:tc>
          <w:tcPr>
            <w:tcW w:type="dxa" w:w="3480"/>
            <w:tcMar>
              <w:top w:w="25" w:type="dxa"/>
              <w:bottom w:w="25" w:type="dxa"/>
              <w:left w:w="45" w:type="dxa"/>
              <w:right w:w="45" w:type="dxa"/>
            </w:tcMar>
          </w:tcPr>
          <w:p>
            <w:r>
              <w:rPr>
                <w:rFonts w:ascii="Times New Roman" w:hAnsi="Times New Roman"/>
                <w:sz w:val="14"/>
              </w:rPr>
              <w:t>Recency weight</w:t>
            </w:r>
          </w:p>
        </w:tc>
        <w:tc>
          <w:tcPr>
            <w:tcW w:type="dxa" w:w="3480"/>
            <w:tcMar>
              <w:top w:w="25" w:type="dxa"/>
              <w:bottom w:w="25" w:type="dxa"/>
              <w:left w:w="45" w:type="dxa"/>
              <w:right w:w="45" w:type="dxa"/>
            </w:tcMar>
          </w:tcPr>
          <w:p>
            <w:r>
              <w:rPr>
                <w:rFonts w:ascii="Times New Roman" w:hAnsi="Times New Roman"/>
                <w:sz w:val="14"/>
              </w:rPr>
              <w:t>w(a)</w:t>
            </w:r>
          </w:p>
        </w:tc>
        <w:tc>
          <w:tcPr>
            <w:tcW w:type="dxa" w:w="3480"/>
            <w:tcMar>
              <w:top w:w="25" w:type="dxa"/>
              <w:bottom w:w="25" w:type="dxa"/>
              <w:left w:w="45" w:type="dxa"/>
              <w:right w:w="45" w:type="dxa"/>
            </w:tcMar>
          </w:tcPr>
          <w:p>
            <w:r>
              <w:rPr>
                <w:rFonts w:ascii="Times New Roman" w:hAnsi="Times New Roman"/>
                <w:sz w:val="14"/>
              </w:rPr>
              <w:t>1.0 (≤6 mo); 0.7 (6–24 mo); 0.4 (&gt;24 mo)</w:t>
            </w:r>
          </w:p>
        </w:tc>
      </w:tr>
      <w:tr>
        <w:tc>
          <w:tcPr>
            <w:tcW w:type="dxa" w:w="3480"/>
            <w:tcMar>
              <w:top w:w="25" w:type="dxa"/>
              <w:bottom w:w="25" w:type="dxa"/>
              <w:left w:w="45" w:type="dxa"/>
              <w:right w:w="45" w:type="dxa"/>
            </w:tcMar>
          </w:tcPr>
          <w:p>
            <w:r>
              <w:rPr>
                <w:rFonts w:ascii="Times New Roman" w:hAnsi="Times New Roman"/>
                <w:sz w:val="14"/>
              </w:rPr>
              <w:t>Saturation cap</w:t>
            </w:r>
          </w:p>
        </w:tc>
        <w:tc>
          <w:tcPr>
            <w:tcW w:type="dxa" w:w="3480"/>
            <w:tcMar>
              <w:top w:w="25" w:type="dxa"/>
              <w:bottom w:w="25" w:type="dxa"/>
              <w:left w:w="45" w:type="dxa"/>
              <w:right w:w="45" w:type="dxa"/>
            </w:tcMar>
          </w:tcPr>
          <w:p>
            <w:r>
              <w:rPr>
                <w:rFonts w:ascii="Times New Roman" w:hAnsi="Times New Roman"/>
                <w:sz w:val="14"/>
              </w:rPr>
              <w:t>R_ref</w:t>
            </w:r>
          </w:p>
        </w:tc>
        <w:tc>
          <w:tcPr>
            <w:tcW w:type="dxa" w:w="3480"/>
            <w:tcMar>
              <w:top w:w="25" w:type="dxa"/>
              <w:bottom w:w="25" w:type="dxa"/>
              <w:left w:w="45" w:type="dxa"/>
              <w:right w:w="45" w:type="dxa"/>
            </w:tcMar>
          </w:tcPr>
          <w:p>
            <w:r>
              <w:rPr>
                <w:rFonts w:ascii="Times New Roman" w:hAnsi="Times New Roman"/>
                <w:sz w:val="14"/>
              </w:rPr>
              <w:t>Calibrated empirically (Section VI)</w:t>
            </w:r>
          </w:p>
        </w:tc>
      </w:tr>
      <w:tr>
        <w:tc>
          <w:tcPr>
            <w:tcW w:type="dxa" w:w="3480"/>
            <w:tcMar>
              <w:top w:w="25" w:type="dxa"/>
              <w:bottom w:w="25" w:type="dxa"/>
              <w:left w:w="45" w:type="dxa"/>
              <w:right w:w="45" w:type="dxa"/>
            </w:tcMar>
          </w:tcPr>
          <w:p>
            <w:r>
              <w:rPr>
                <w:rFonts w:ascii="Times New Roman" w:hAnsi="Times New Roman"/>
                <w:sz w:val="14"/>
              </w:rPr>
              <w:t>Zone boundaries</w:t>
            </w:r>
          </w:p>
        </w:tc>
        <w:tc>
          <w:tcPr>
            <w:tcW w:type="dxa" w:w="3480"/>
            <w:tcMar>
              <w:top w:w="25" w:type="dxa"/>
              <w:bottom w:w="25" w:type="dxa"/>
              <w:left w:w="45" w:type="dxa"/>
              <w:right w:w="45" w:type="dxa"/>
            </w:tcMar>
          </w:tcPr>
          <w:p>
            <w:r>
              <w:rPr>
                <w:rFonts w:ascii="Times New Roman" w:hAnsi="Times New Roman"/>
                <w:sz w:val="14"/>
              </w:rPr>
              <w:t>Z</w:t>
            </w:r>
          </w:p>
        </w:tc>
        <w:tc>
          <w:tcPr>
            <w:tcW w:type="dxa" w:w="3480"/>
            <w:tcMar>
              <w:top w:w="25" w:type="dxa"/>
              <w:bottom w:w="25" w:type="dxa"/>
              <w:left w:w="45" w:type="dxa"/>
              <w:right w:w="45" w:type="dxa"/>
            </w:tcMar>
          </w:tcPr>
          <w:p>
            <w:r>
              <w:rPr>
                <w:rFonts w:ascii="Times New Roman" w:hAnsi="Times New Roman"/>
                <w:sz w:val="14"/>
              </w:rPr>
              <w:t>Red: ≥60; Yellow: 30 to &lt;60; Green: &lt;30</w:t>
            </w:r>
          </w:p>
        </w:tc>
      </w:tr>
    </w:tbl>
    <w:p>
      <w:pPr>
        <w:spacing w:before="0" w:after="40" w:line="247" w:lineRule="auto"/>
        <w:ind w:firstLine="202"/>
        <w:jc w:val="both"/>
      </w:pPr>
      <w:r>
        <w:rPr>
          <w:rFonts w:ascii="Times New Roman" w:hAnsi="Times New Roman"/>
          <w:sz w:val="20"/>
        </w:rPr>
        <w:t>Because news coordinates point to locality centers rather than specific house numbers, distance decay captures neighborhood variations. Severity scores follow a transparent category lookup table, evaluated on held-out temporal splits in Section VI.</w:t>
      </w:r>
    </w:p>
    <w:p>
      <w:pPr>
        <w:keepNext/>
        <w:spacing w:before="120" w:after="40"/>
        <w:jc w:val="left"/>
      </w:pPr>
      <w:r>
        <w:rPr>
          <w:rFonts w:ascii="Times New Roman" w:hAnsi="Times New Roman"/>
          <w:i/>
          <w:sz w:val="19"/>
        </w:rPr>
        <w:t>D. Hotspot Detection and Administrator Visualization</w:t>
      </w:r>
    </w:p>
    <w:p>
      <w:pPr>
        <w:spacing w:before="0" w:after="40" w:line="247" w:lineRule="auto"/>
        <w:ind w:firstLine="202"/>
        <w:jc w:val="both"/>
      </w:pPr>
      <w:r>
        <w:rPr>
          <w:rFonts w:ascii="Times New Roman" w:hAnsi="Times New Roman"/>
          <w:sz w:val="20"/>
        </w:rPr>
        <w:t>The administrator dashboard provides color-coded incident markers, density heatmaps, and flexible filters across districts, localities, crime categories, and date ranges. While DBSCAN [14] with Haversine distance is formulated as the target spatial clustering algorithm (using neighborhood radius ε and minimum points m), the active backend service currently groups incidents by identical coordinates using database aggregation, and the dashboard's active hotspot counter shows 24 (the count of distinct localities with at least one high-severity crime). Full DBSCAN execution is part of the evaluation protocol in Section VI.</w:t>
      </w:r>
    </w:p>
    <w:p>
      <w:pPr>
        <w:keepNext/>
        <w:spacing w:before="120" w:after="40"/>
        <w:jc w:val="left"/>
      </w:pPr>
      <w:r>
        <w:rPr>
          <w:rFonts w:ascii="Times New Roman" w:hAnsi="Times New Roman"/>
          <w:i/>
          <w:sz w:val="19"/>
        </w:rPr>
        <w:t>E. Pattern-Recurrence Analysis (Proposed)</w:t>
      </w:r>
    </w:p>
    <w:p>
      <w:pPr>
        <w:spacing w:before="0" w:after="40" w:line="247" w:lineRule="auto"/>
        <w:ind w:firstLine="202"/>
        <w:jc w:val="both"/>
      </w:pPr>
      <w:r>
        <w:rPr>
          <w:rFonts w:ascii="Times New Roman" w:hAnsi="Times New Roman"/>
          <w:sz w:val="20"/>
        </w:rPr>
        <w:t>To examine repeating spatial crime patterns, CrimeSense formulates three analytical routines (Fig. 4). First, the Knox space-time interaction test calculates statistic X across incident pairs (i, j):</w:t>
      </w:r>
    </w:p>
    <w:p>
      <w:pPr>
        <w:spacing w:before="40" w:after="40"/>
        <w:jc w:val="both"/>
      </w:pPr>
      <w:r>
        <w:rPr>
          <w:rFonts w:ascii="Times New Roman" w:hAnsi="Times New Roman"/>
          <w:i/>
          <w:sz w:val="18"/>
        </w:rPr>
        <w:t xml:space="preserve">   X = Σ_{i &lt; j} 1[d_ij ≤ Δs] · 1[|t_i − t_j| ≤ Δt]</w:t>
      </w:r>
      <w:r>
        <w:rPr>
          <w:rFonts w:ascii="Times New Roman" w:hAnsi="Times New Roman"/>
          <w:i w:val="0"/>
          <w:sz w:val="18"/>
        </w:rPr>
        <w:tab/>
        <w:t>(4)</w:t>
      </w:r>
    </w:p>
    <w:p>
      <w:pPr>
        <w:spacing w:before="0" w:after="40" w:line="247" w:lineRule="auto"/>
        <w:ind w:firstLine="202"/>
        <w:jc w:val="both"/>
      </w:pPr>
      <w:r>
        <w:rPr>
          <w:rFonts w:ascii="Times New Roman" w:hAnsi="Times New Roman"/>
          <w:sz w:val="20"/>
        </w:rPr>
        <w:t>tested across distance bounds Δs ∈ {250, 500, 1000} m and time windows Δt ∈ {7, 14, 30} days against 999 Monte Carlo date permutations. Second, sequential association rules treat locality-week bins as transactions, evaluating rule A → B via lift [35]:</w:t>
      </w:r>
    </w:p>
    <w:p>
      <w:pPr>
        <w:spacing w:before="40" w:after="40"/>
        <w:jc w:val="both"/>
      </w:pPr>
      <w:r>
        <w:rPr>
          <w:rFonts w:ascii="Times New Roman" w:hAnsi="Times New Roman"/>
          <w:i/>
          <w:sz w:val="18"/>
        </w:rPr>
        <w:t xml:space="preserve">   lift(A → B) = P(B | A) / P(B)</w:t>
      </w:r>
      <w:r>
        <w:rPr>
          <w:rFonts w:ascii="Times New Roman" w:hAnsi="Times New Roman"/>
          <w:i w:val="0"/>
          <w:sz w:val="18"/>
        </w:rPr>
        <w:tab/>
        <w:t>(5)</w:t>
      </w:r>
    </w:p>
    <w:p>
      <w:pPr>
        <w:spacing w:before="0" w:after="40" w:line="247" w:lineRule="auto"/>
        <w:ind w:firstLine="202"/>
        <w:jc w:val="both"/>
      </w:pPr>
      <w:r>
        <w:rPr>
          <w:rFonts w:ascii="Times New Roman" w:hAnsi="Times New Roman"/>
          <w:sz w:val="20"/>
        </w:rPr>
        <w:t>Third, the locality recurrence index measures the share of offenses in locality L of type T that have a prior occurrence within Δt:</w:t>
      </w:r>
    </w:p>
    <w:p>
      <w:pPr>
        <w:spacing w:before="40" w:after="40"/>
        <w:jc w:val="both"/>
      </w:pPr>
      <w:r>
        <w:rPr>
          <w:rFonts w:ascii="Times New Roman" w:hAnsi="Times New Roman"/>
          <w:i/>
          <w:sz w:val="18"/>
        </w:rPr>
        <w:t xml:space="preserve">   RI(L, T) = |{i ∈ I(L, T) : ∃ j, 0 &lt; t_i − t_j ≤ Δt}| / |I(L, T)|</w:t>
      </w:r>
      <w:r>
        <w:rPr>
          <w:rFonts w:ascii="Times New Roman" w:hAnsi="Times New Roman"/>
          <w:i w:val="0"/>
          <w:sz w:val="18"/>
        </w:rPr>
        <w:tab/>
        <w:t>(6)</w:t>
      </w:r>
    </w:p>
    <w:p>
      <w:pPr>
        <w:keepNext/>
        <w:spacing w:before="80" w:after="40"/>
        <w:jc w:val="center"/>
      </w:pPr>
      <w:r>
        <w:drawing>
          <wp:inline xmlns:a="http://schemas.openxmlformats.org/drawingml/2006/main" xmlns:pic="http://schemas.openxmlformats.org/drawingml/2006/picture">
            <wp:extent cx="3063240" cy="1778655"/>
            <wp:docPr id="4" name="Picture 4"/>
            <wp:cNvGraphicFramePr>
              <a:graphicFrameLocks noChangeAspect="1"/>
            </wp:cNvGraphicFramePr>
            <a:graphic>
              <a:graphicData uri="http://schemas.openxmlformats.org/drawingml/2006/picture">
                <pic:pic>
                  <pic:nvPicPr>
                    <pic:cNvPr id="0" name="fig4_recurrence.png"/>
                    <pic:cNvPicPr/>
                  </pic:nvPicPr>
                  <pic:blipFill>
                    <a:blip r:embed="rId12"/>
                    <a:stretch>
                      <a:fillRect/>
                    </a:stretch>
                  </pic:blipFill>
                  <pic:spPr>
                    <a:xfrm>
                      <a:off x="0" y="0"/>
                      <a:ext cx="3063240" cy="1778655"/>
                    </a:xfrm>
                    <a:prstGeom prst="rect"/>
                  </pic:spPr>
                </pic:pic>
              </a:graphicData>
            </a:graphic>
          </wp:inline>
        </w:drawing>
      </w:r>
    </w:p>
    <w:p>
      <w:pPr>
        <w:spacing w:before="0" w:after="100" w:line="240" w:lineRule="auto"/>
        <w:jc w:val="left"/>
      </w:pPr>
      <w:r>
        <w:rPr>
          <w:rFonts w:ascii="Times New Roman" w:hAnsi="Times New Roman"/>
          <w:b w:val="0"/>
          <w:sz w:val="16"/>
        </w:rPr>
        <w:t xml:space="preserve">Fig. 4. </w:t>
      </w:r>
      <w:r>
        <w:rPr>
          <w:rFonts w:ascii="Times New Roman" w:hAnsi="Times New Roman"/>
          <w:sz w:val="16"/>
        </w:rPr>
        <w:t>Proposed pattern recurrence pipeline. Modules are formulated for evaluation.</w:t>
      </w:r>
    </w:p>
    <w:p>
      <w:pPr>
        <w:keepNext/>
        <w:spacing w:before="120" w:after="40"/>
        <w:jc w:val="left"/>
      </w:pPr>
      <w:r>
        <w:rPr>
          <w:rFonts w:ascii="Times New Roman" w:hAnsi="Times New Roman"/>
          <w:i/>
          <w:sz w:val="19"/>
        </w:rPr>
        <w:t>F. Pre-Visit Advisory and Safe-Haven Finder (Proposed)</w:t>
      </w:r>
    </w:p>
    <w:p>
      <w:pPr>
        <w:spacing w:before="0" w:after="40" w:line="247" w:lineRule="auto"/>
        <w:ind w:firstLine="202"/>
        <w:jc w:val="both"/>
      </w:pPr>
      <w:r>
        <w:rPr>
          <w:rFonts w:ascii="Times New Roman" w:hAnsi="Times New Roman"/>
          <w:sz w:val="20"/>
        </w:rPr>
        <w:t>These modules support the resident application search bar and 'I Feel Unsafe' features (Fig. 5). The pre-visit check converts local incident records into clear advisory cards (Table III) using rule templates rather than large language models, ensuring that every sentence traces back directly to source news reports.</w:t>
      </w:r>
    </w:p>
    <w:p>
      <w:pPr>
        <w:keepNext/>
        <w:spacing w:before="80" w:after="40"/>
        <w:jc w:val="center"/>
      </w:pPr>
      <w:r>
        <w:drawing>
          <wp:inline xmlns:a="http://schemas.openxmlformats.org/drawingml/2006/main" xmlns:pic="http://schemas.openxmlformats.org/drawingml/2006/picture">
            <wp:extent cx="3063240" cy="1979324"/>
            <wp:docPr id="5" name="Picture 5"/>
            <wp:cNvGraphicFramePr>
              <a:graphicFrameLocks noChangeAspect="1"/>
            </wp:cNvGraphicFramePr>
            <a:graphic>
              <a:graphicData uri="http://schemas.openxmlformats.org/drawingml/2006/picture">
                <pic:pic>
                  <pic:nvPicPr>
                    <pic:cNvPr id="0" name="fig5_resident_flows.png"/>
                    <pic:cNvPicPr/>
                  </pic:nvPicPr>
                  <pic:blipFill>
                    <a:blip r:embed="rId13"/>
                    <a:stretch>
                      <a:fillRect/>
                    </a:stretch>
                  </pic:blipFill>
                  <pic:spPr>
                    <a:xfrm>
                      <a:off x="0" y="0"/>
                      <a:ext cx="3063240" cy="1979324"/>
                    </a:xfrm>
                    <a:prstGeom prst="rect"/>
                  </pic:spPr>
                </pic:pic>
              </a:graphicData>
            </a:graphic>
          </wp:inline>
        </w:drawing>
      </w:r>
    </w:p>
    <w:p>
      <w:pPr>
        <w:spacing w:before="0" w:after="100" w:line="240" w:lineRule="auto"/>
        <w:jc w:val="left"/>
      </w:pPr>
      <w:r>
        <w:rPr>
          <w:rFonts w:ascii="Times New Roman" w:hAnsi="Times New Roman"/>
          <w:b w:val="0"/>
          <w:sz w:val="16"/>
        </w:rPr>
        <w:t xml:space="preserve">Fig. 5. </w:t>
      </w:r>
      <w:r>
        <w:rPr>
          <w:rFonts w:ascii="Times New Roman" w:hAnsi="Times New Roman"/>
          <w:sz w:val="16"/>
        </w:rPr>
        <w:t>Resident user flows: (a) pre-visit destination check; (b) nearest safe haven search.</w:t>
      </w:r>
    </w:p>
    <w:p>
      <w:pPr>
        <w:keepNext/>
        <w:spacing w:before="120" w:after="20"/>
        <w:jc w:val="center"/>
      </w:pPr>
      <w:r>
        <w:rPr>
          <w:rFonts w:ascii="Times New Roman" w:hAnsi="Times New Roman"/>
          <w:sz w:val="16"/>
        </w:rPr>
        <w:t>TABLE III</w:t>
      </w:r>
    </w:p>
    <w:p>
      <w:pPr>
        <w:keepNext/>
        <w:spacing w:before="0" w:after="60"/>
        <w:jc w:val="center"/>
      </w:pPr>
      <w:r>
        <w:rPr>
          <w:rFonts w:ascii="Times New Roman" w:hAnsi="Times New Roman"/>
          <w:sz w:val="15"/>
        </w:rPr>
        <w:t>ADVISORY RULES (ZONE STATUS TO MESSAGE CONTENT)</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5220"/>
        <w:gridCol w:w="5220"/>
      </w:tblGrid>
      <w:tr>
        <w:tc>
          <w:tcPr>
            <w:tcW w:type="dxa" w:w="5220"/>
            <w:tcMar>
              <w:top w:w="30" w:type="dxa"/>
              <w:bottom w:w="30" w:type="dxa"/>
              <w:left w:w="50" w:type="dxa"/>
              <w:right w:w="50" w:type="dxa"/>
            </w:tcMar>
          </w:tcPr>
          <w:p>
            <w:r>
              <w:rPr>
                <w:rFonts w:ascii="Times New Roman" w:hAnsi="Times New Roman"/>
                <w:b/>
                <w:sz w:val="15"/>
              </w:rPr>
              <w:t>Condition</w:t>
            </w:r>
          </w:p>
        </w:tc>
        <w:tc>
          <w:tcPr>
            <w:tcW w:type="dxa" w:w="5220"/>
            <w:tcMar>
              <w:top w:w="30" w:type="dxa"/>
              <w:bottom w:w="30" w:type="dxa"/>
              <w:left w:w="50" w:type="dxa"/>
              <w:right w:w="50" w:type="dxa"/>
            </w:tcMar>
          </w:tcPr>
          <w:p>
            <w:r>
              <w:rPr>
                <w:rFonts w:ascii="Times New Roman" w:hAnsi="Times New Roman"/>
                <w:b/>
                <w:sz w:val="15"/>
              </w:rPr>
              <w:t>Advisory Content</w:t>
            </w:r>
          </w:p>
        </w:tc>
      </w:tr>
      <w:tr>
        <w:tc>
          <w:tcPr>
            <w:tcW w:type="dxa" w:w="5220"/>
            <w:tcMar>
              <w:top w:w="25" w:type="dxa"/>
              <w:bottom w:w="25" w:type="dxa"/>
              <w:left w:w="45" w:type="dxa"/>
              <w:right w:w="45" w:type="dxa"/>
            </w:tcMar>
          </w:tcPr>
          <w:p>
            <w:r>
              <w:rPr>
                <w:rFonts w:ascii="Times New Roman" w:hAnsi="Times New Roman"/>
                <w:sz w:val="14"/>
              </w:rPr>
              <w:t>Green, none in ρ</w:t>
            </w:r>
          </w:p>
        </w:tc>
        <w:tc>
          <w:tcPr>
            <w:tcW w:type="dxa" w:w="5220"/>
            <w:tcMar>
              <w:top w:w="25" w:type="dxa"/>
              <w:bottom w:w="25" w:type="dxa"/>
              <w:left w:w="45" w:type="dxa"/>
              <w:right w:w="45" w:type="dxa"/>
            </w:tcMar>
          </w:tcPr>
          <w:p>
            <w:r>
              <w:rPr>
                <w:rFonts w:ascii="Times New Roman" w:hAnsi="Times New Roman"/>
                <w:sz w:val="14"/>
              </w:rPr>
              <w:t>No reports within radius in dataset; coverage is limited; maintain standard precautions</w:t>
            </w:r>
          </w:p>
        </w:tc>
      </w:tr>
      <w:tr>
        <w:tc>
          <w:tcPr>
            <w:tcW w:type="dxa" w:w="5220"/>
            <w:tcMar>
              <w:top w:w="25" w:type="dxa"/>
              <w:bottom w:w="25" w:type="dxa"/>
              <w:left w:w="45" w:type="dxa"/>
              <w:right w:w="45" w:type="dxa"/>
            </w:tcMar>
          </w:tcPr>
          <w:p>
            <w:r>
              <w:rPr>
                <w:rFonts w:ascii="Times New Roman" w:hAnsi="Times New Roman"/>
                <w:sz w:val="14"/>
              </w:rPr>
              <w:t>Green, some in ρ</w:t>
            </w:r>
          </w:p>
        </w:tc>
        <w:tc>
          <w:tcPr>
            <w:tcW w:type="dxa" w:w="5220"/>
            <w:tcMar>
              <w:top w:w="25" w:type="dxa"/>
              <w:bottom w:w="25" w:type="dxa"/>
              <w:left w:w="45" w:type="dxa"/>
              <w:right w:w="45" w:type="dxa"/>
            </w:tcMar>
          </w:tcPr>
          <w:p>
            <w:r>
              <w:rPr>
                <w:rFonts w:ascii="Times New Roman" w:hAnsi="Times New Roman"/>
                <w:sz w:val="14"/>
              </w:rPr>
              <w:t>Few low-severity reports; top types listed; standard precautions advised</w:t>
            </w:r>
          </w:p>
        </w:tc>
      </w:tr>
      <w:tr>
        <w:tc>
          <w:tcPr>
            <w:tcW w:type="dxa" w:w="5220"/>
            <w:tcMar>
              <w:top w:w="25" w:type="dxa"/>
              <w:bottom w:w="25" w:type="dxa"/>
              <w:left w:w="45" w:type="dxa"/>
              <w:right w:w="45" w:type="dxa"/>
            </w:tcMar>
          </w:tcPr>
          <w:p>
            <w:r>
              <w:rPr>
                <w:rFonts w:ascii="Times New Roman" w:hAnsi="Times New Roman"/>
                <w:sz w:val="14"/>
              </w:rPr>
              <w:t>Yellow</w:t>
            </w:r>
          </w:p>
        </w:tc>
        <w:tc>
          <w:tcPr>
            <w:tcW w:type="dxa" w:w="5220"/>
            <w:tcMar>
              <w:top w:w="25" w:type="dxa"/>
              <w:bottom w:w="25" w:type="dxa"/>
              <w:left w:w="45" w:type="dxa"/>
              <w:right w:w="45" w:type="dxa"/>
            </w:tcMar>
          </w:tcPr>
          <w:p>
            <w:r>
              <w:rPr>
                <w:rFonts w:ascii="Times New Roman" w:hAnsi="Times New Roman"/>
                <w:sz w:val="14"/>
              </w:rPr>
              <w:t>Moderate reports; prefer busy routes, avoid isolated stretches, notify a contact; haven links shown</w:t>
            </w:r>
          </w:p>
        </w:tc>
      </w:tr>
      <w:tr>
        <w:tc>
          <w:tcPr>
            <w:tcW w:type="dxa" w:w="5220"/>
            <w:tcMar>
              <w:top w:w="25" w:type="dxa"/>
              <w:bottom w:w="25" w:type="dxa"/>
              <w:left w:w="45" w:type="dxa"/>
              <w:right w:w="45" w:type="dxa"/>
            </w:tcMar>
          </w:tcPr>
          <w:p>
            <w:r>
              <w:rPr>
                <w:rFonts w:ascii="Times New Roman" w:hAnsi="Times New Roman"/>
                <w:sz w:val="14"/>
              </w:rPr>
              <w:t>Red</w:t>
            </w:r>
          </w:p>
        </w:tc>
        <w:tc>
          <w:tcPr>
            <w:tcW w:type="dxa" w:w="5220"/>
            <w:tcMar>
              <w:top w:w="25" w:type="dxa"/>
              <w:bottom w:w="25" w:type="dxa"/>
              <w:left w:w="45" w:type="dxa"/>
              <w:right w:w="45" w:type="dxa"/>
            </w:tcMar>
          </w:tcPr>
          <w:p>
            <w:r>
              <w:rPr>
                <w:rFonts w:ascii="Times New Roman" w:hAnsi="Times New Roman"/>
                <w:sz w:val="14"/>
              </w:rPr>
              <w:t>Concentration of severe reports; companion travel advised, prefer daylight; nearest haven displayed</w:t>
            </w:r>
          </w:p>
        </w:tc>
      </w:tr>
      <w:tr>
        <w:tc>
          <w:tcPr>
            <w:tcW w:type="dxa" w:w="5220"/>
            <w:tcMar>
              <w:top w:w="25" w:type="dxa"/>
              <w:bottom w:w="25" w:type="dxa"/>
              <w:left w:w="45" w:type="dxa"/>
              <w:right w:w="45" w:type="dxa"/>
            </w:tcMar>
          </w:tcPr>
          <w:p>
            <w:r>
              <w:rPr>
                <w:rFonts w:ascii="Times New Roman" w:hAnsi="Times New Roman"/>
                <w:sz w:val="14"/>
              </w:rPr>
              <w:t>Violent type in top 3</w:t>
            </w:r>
          </w:p>
        </w:tc>
        <w:tc>
          <w:tcPr>
            <w:tcW w:type="dxa" w:w="5220"/>
            <w:tcMar>
              <w:top w:w="25" w:type="dxa"/>
              <w:bottom w:w="25" w:type="dxa"/>
              <w:left w:w="45" w:type="dxa"/>
              <w:right w:w="45" w:type="dxa"/>
            </w:tcMar>
          </w:tcPr>
          <w:p>
            <w:r>
              <w:rPr>
                <w:rFonts w:ascii="Times New Roman" w:hAnsi="Times New Roman"/>
                <w:sz w:val="14"/>
              </w:rPr>
              <w:t>Appended note: traveling with a companion is strongly advised</w:t>
            </w:r>
          </w:p>
        </w:tc>
      </w:tr>
      <w:tr>
        <w:tc>
          <w:tcPr>
            <w:tcW w:type="dxa" w:w="5220"/>
            <w:tcMar>
              <w:top w:w="25" w:type="dxa"/>
              <w:bottom w:w="25" w:type="dxa"/>
              <w:left w:w="45" w:type="dxa"/>
              <w:right w:w="45" w:type="dxa"/>
            </w:tcMar>
          </w:tcPr>
          <w:p>
            <w:r>
              <w:rPr>
                <w:rFonts w:ascii="Times New Roman" w:hAnsi="Times New Roman"/>
                <w:sz w:val="14"/>
              </w:rPr>
              <w:t>Theft or fraud on top</w:t>
            </w:r>
          </w:p>
        </w:tc>
        <w:tc>
          <w:tcPr>
            <w:tcW w:type="dxa" w:w="5220"/>
            <w:tcMar>
              <w:top w:w="25" w:type="dxa"/>
              <w:bottom w:w="25" w:type="dxa"/>
              <w:left w:w="45" w:type="dxa"/>
              <w:right w:w="45" w:type="dxa"/>
            </w:tcMar>
          </w:tcPr>
          <w:p>
            <w:r>
              <w:rPr>
                <w:rFonts w:ascii="Times New Roman" w:hAnsi="Times New Roman"/>
                <w:sz w:val="14"/>
              </w:rPr>
              <w:t>Appended note: secure personal belongings; beware unsolicited payment requests</w:t>
            </w:r>
          </w:p>
        </w:tc>
      </w:tr>
    </w:tbl>
    <w:p>
      <w:pPr>
        <w:spacing w:before="0" w:after="40" w:line="247" w:lineRule="auto"/>
        <w:ind w:firstLine="202"/>
        <w:jc w:val="both"/>
      </w:pPr>
      <w:r>
        <w:rPr>
          <w:rFonts w:ascii="Times New Roman" w:hAnsi="Times New Roman"/>
          <w:sz w:val="20"/>
        </w:rPr>
        <w:t>In the haven flow, candidate public locations within walking distance are queried from OpenStreetMap (Table IV) and ranked by utility score H(p):</w:t>
      </w:r>
    </w:p>
    <w:p>
      <w:pPr>
        <w:spacing w:before="40" w:after="40"/>
        <w:jc w:val="both"/>
      </w:pPr>
      <w:r>
        <w:rPr>
          <w:rFonts w:ascii="Times New Roman" w:hAnsi="Times New Roman"/>
          <w:i/>
          <w:sz w:val="18"/>
        </w:rPr>
        <w:t xml:space="preserve">   H(p) = w_c · o(p, t) · exp(−d_p / λ) · (1 − Z_p / 100)</w:t>
      </w:r>
      <w:r>
        <w:rPr>
          <w:rFonts w:ascii="Times New Roman" w:hAnsi="Times New Roman"/>
          <w:i w:val="0"/>
          <w:sz w:val="18"/>
        </w:rPr>
        <w:tab/>
        <w:t>(7)</w:t>
      </w:r>
    </w:p>
    <w:p>
      <w:pPr>
        <w:spacing w:before="0" w:after="40" w:line="247" w:lineRule="auto"/>
        <w:ind w:firstLine="202"/>
        <w:jc w:val="both"/>
      </w:pPr>
      <w:r>
        <w:rPr>
          <w:rFonts w:ascii="Times New Roman" w:hAnsi="Times New Roman"/>
          <w:sz w:val="20"/>
        </w:rPr>
        <w:t>where w_c reflects institutional guardianship, o(p, t) indicates opening status (1.0 if open, 0.0 if closed, and 0.5 if unlisted), d_p is walking distance, decay constant λ = 500 m, and Z_p penalizes shelters located inside crime hotspots. The top five havens are displayed with walking times, telephone buttons, and navigation links.</w:t>
      </w:r>
    </w:p>
    <w:p>
      <w:pPr>
        <w:keepNext/>
        <w:spacing w:before="120" w:after="20"/>
        <w:jc w:val="center"/>
      </w:pPr>
      <w:r>
        <w:rPr>
          <w:rFonts w:ascii="Times New Roman" w:hAnsi="Times New Roman"/>
          <w:sz w:val="16"/>
        </w:rPr>
        <w:t>TABLE IV</w:t>
      </w:r>
    </w:p>
    <w:p>
      <w:pPr>
        <w:keepNext/>
        <w:spacing w:before="0" w:after="60"/>
        <w:jc w:val="center"/>
      </w:pPr>
      <w:r>
        <w:rPr>
          <w:rFonts w:ascii="Times New Roman" w:hAnsi="Times New Roman"/>
          <w:sz w:val="15"/>
        </w:rPr>
        <w:t>SAFE HAVEN CATEGORIES AND BASELINE GUARDIANSHIP WEIGHTS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Category</w:t>
            </w:r>
          </w:p>
        </w:tc>
        <w:tc>
          <w:tcPr>
            <w:tcW w:type="dxa" w:w="3480"/>
            <w:tcMar>
              <w:top w:w="30" w:type="dxa"/>
              <w:bottom w:w="30" w:type="dxa"/>
              <w:left w:w="50" w:type="dxa"/>
              <w:right w:w="50" w:type="dxa"/>
            </w:tcMar>
          </w:tcPr>
          <w:p>
            <w:r>
              <w:rPr>
                <w:rFonts w:ascii="Times New Roman" w:hAnsi="Times New Roman"/>
                <w:b/>
                <w:sz w:val="15"/>
              </w:rPr>
              <w:t>OpenStreetMap Tag Example</w:t>
            </w:r>
          </w:p>
        </w:tc>
        <w:tc>
          <w:tcPr>
            <w:tcW w:type="dxa" w:w="3480"/>
            <w:tcMar>
              <w:top w:w="30" w:type="dxa"/>
              <w:bottom w:w="30" w:type="dxa"/>
              <w:left w:w="50" w:type="dxa"/>
              <w:right w:w="50" w:type="dxa"/>
            </w:tcMar>
          </w:tcPr>
          <w:p>
            <w:r>
              <w:rPr>
                <w:rFonts w:ascii="Times New Roman" w:hAnsi="Times New Roman"/>
                <w:b/>
                <w:sz w:val="15"/>
              </w:rPr>
              <w:t>Weight (w_c)</w:t>
            </w:r>
          </w:p>
        </w:tc>
      </w:tr>
      <w:tr>
        <w:tc>
          <w:tcPr>
            <w:tcW w:type="dxa" w:w="3480"/>
            <w:tcMar>
              <w:top w:w="25" w:type="dxa"/>
              <w:bottom w:w="25" w:type="dxa"/>
              <w:left w:w="45" w:type="dxa"/>
              <w:right w:w="45" w:type="dxa"/>
            </w:tcMar>
          </w:tcPr>
          <w:p>
            <w:r>
              <w:rPr>
                <w:rFonts w:ascii="Times New Roman" w:hAnsi="Times New Roman"/>
                <w:sz w:val="14"/>
              </w:rPr>
              <w:t>Police station</w:t>
            </w:r>
          </w:p>
        </w:tc>
        <w:tc>
          <w:tcPr>
            <w:tcW w:type="dxa" w:w="3480"/>
            <w:tcMar>
              <w:top w:w="25" w:type="dxa"/>
              <w:bottom w:w="25" w:type="dxa"/>
              <w:left w:w="45" w:type="dxa"/>
              <w:right w:w="45" w:type="dxa"/>
            </w:tcMar>
          </w:tcPr>
          <w:p>
            <w:r>
              <w:rPr>
                <w:rFonts w:ascii="Times New Roman" w:hAnsi="Times New Roman"/>
                <w:sz w:val="14"/>
              </w:rPr>
              <w:t>amenity=police</w:t>
            </w:r>
          </w:p>
        </w:tc>
        <w:tc>
          <w:tcPr>
            <w:tcW w:type="dxa" w:w="3480"/>
            <w:tcMar>
              <w:top w:w="25" w:type="dxa"/>
              <w:bottom w:w="25" w:type="dxa"/>
              <w:left w:w="45" w:type="dxa"/>
              <w:right w:w="45" w:type="dxa"/>
            </w:tcMar>
          </w:tcPr>
          <w:p>
            <w:r>
              <w:rPr>
                <w:rFonts w:ascii="Times New Roman" w:hAnsi="Times New Roman"/>
                <w:sz w:val="14"/>
              </w:rPr>
              <w:t>1.0</w:t>
            </w:r>
          </w:p>
        </w:tc>
      </w:tr>
      <w:tr>
        <w:tc>
          <w:tcPr>
            <w:tcW w:type="dxa" w:w="3480"/>
            <w:tcMar>
              <w:top w:w="25" w:type="dxa"/>
              <w:bottom w:w="25" w:type="dxa"/>
              <w:left w:w="45" w:type="dxa"/>
              <w:right w:w="45" w:type="dxa"/>
            </w:tcMar>
          </w:tcPr>
          <w:p>
            <w:r>
              <w:rPr>
                <w:rFonts w:ascii="Times New Roman" w:hAnsi="Times New Roman"/>
                <w:sz w:val="14"/>
              </w:rPr>
              <w:t>Hospital or clinic</w:t>
            </w:r>
          </w:p>
        </w:tc>
        <w:tc>
          <w:tcPr>
            <w:tcW w:type="dxa" w:w="3480"/>
            <w:tcMar>
              <w:top w:w="25" w:type="dxa"/>
              <w:bottom w:w="25" w:type="dxa"/>
              <w:left w:w="45" w:type="dxa"/>
              <w:right w:w="45" w:type="dxa"/>
            </w:tcMar>
          </w:tcPr>
          <w:p>
            <w:r>
              <w:rPr>
                <w:rFonts w:ascii="Times New Roman" w:hAnsi="Times New Roman"/>
                <w:sz w:val="14"/>
              </w:rPr>
              <w:t>amenity=hospital, clinic</w:t>
            </w:r>
          </w:p>
        </w:tc>
        <w:tc>
          <w:tcPr>
            <w:tcW w:type="dxa" w:w="3480"/>
            <w:tcMar>
              <w:top w:w="25" w:type="dxa"/>
              <w:bottom w:w="25" w:type="dxa"/>
              <w:left w:w="45" w:type="dxa"/>
              <w:right w:w="45" w:type="dxa"/>
            </w:tcMar>
          </w:tcPr>
          <w:p>
            <w:r>
              <w:rPr>
                <w:rFonts w:ascii="Times New Roman" w:hAnsi="Times New Roman"/>
                <w:sz w:val="14"/>
              </w:rPr>
              <w:t>0.9</w:t>
            </w:r>
          </w:p>
        </w:tc>
      </w:tr>
      <w:tr>
        <w:tc>
          <w:tcPr>
            <w:tcW w:type="dxa" w:w="3480"/>
            <w:tcMar>
              <w:top w:w="25" w:type="dxa"/>
              <w:bottom w:w="25" w:type="dxa"/>
              <w:left w:w="45" w:type="dxa"/>
              <w:right w:w="45" w:type="dxa"/>
            </w:tcMar>
          </w:tcPr>
          <w:p>
            <w:r>
              <w:rPr>
                <w:rFonts w:ascii="Times New Roman" w:hAnsi="Times New Roman"/>
                <w:sz w:val="14"/>
              </w:rPr>
              <w:t>Government office</w:t>
            </w:r>
          </w:p>
        </w:tc>
        <w:tc>
          <w:tcPr>
            <w:tcW w:type="dxa" w:w="3480"/>
            <w:tcMar>
              <w:top w:w="25" w:type="dxa"/>
              <w:bottom w:w="25" w:type="dxa"/>
              <w:left w:w="45" w:type="dxa"/>
              <w:right w:w="45" w:type="dxa"/>
            </w:tcMar>
          </w:tcPr>
          <w:p>
            <w:r>
              <w:rPr>
                <w:rFonts w:ascii="Times New Roman" w:hAnsi="Times New Roman"/>
                <w:sz w:val="14"/>
              </w:rPr>
              <w:t>office=government</w:t>
            </w:r>
          </w:p>
        </w:tc>
        <w:tc>
          <w:tcPr>
            <w:tcW w:type="dxa" w:w="3480"/>
            <w:tcMar>
              <w:top w:w="25" w:type="dxa"/>
              <w:bottom w:w="25" w:type="dxa"/>
              <w:left w:w="45" w:type="dxa"/>
              <w:right w:w="45" w:type="dxa"/>
            </w:tcMar>
          </w:tcPr>
          <w:p>
            <w:r>
              <w:rPr>
                <w:rFonts w:ascii="Times New Roman" w:hAnsi="Times New Roman"/>
                <w:sz w:val="14"/>
              </w:rPr>
              <w:t>0.7</w:t>
            </w:r>
          </w:p>
        </w:tc>
      </w:tr>
      <w:tr>
        <w:tc>
          <w:tcPr>
            <w:tcW w:type="dxa" w:w="3480"/>
            <w:tcMar>
              <w:top w:w="25" w:type="dxa"/>
              <w:bottom w:w="25" w:type="dxa"/>
              <w:left w:w="45" w:type="dxa"/>
              <w:right w:w="45" w:type="dxa"/>
            </w:tcMar>
          </w:tcPr>
          <w:p>
            <w:r>
              <w:rPr>
                <w:rFonts w:ascii="Times New Roman" w:hAnsi="Times New Roman"/>
                <w:sz w:val="14"/>
              </w:rPr>
              <w:t>Supermarket, mall</w:t>
            </w:r>
          </w:p>
        </w:tc>
        <w:tc>
          <w:tcPr>
            <w:tcW w:type="dxa" w:w="3480"/>
            <w:tcMar>
              <w:top w:w="25" w:type="dxa"/>
              <w:bottom w:w="25" w:type="dxa"/>
              <w:left w:w="45" w:type="dxa"/>
              <w:right w:w="45" w:type="dxa"/>
            </w:tcMar>
          </w:tcPr>
          <w:p>
            <w:r>
              <w:rPr>
                <w:rFonts w:ascii="Times New Roman" w:hAnsi="Times New Roman"/>
                <w:sz w:val="14"/>
              </w:rPr>
              <w:t>shop=supermarket, mall</w:t>
            </w:r>
          </w:p>
        </w:tc>
        <w:tc>
          <w:tcPr>
            <w:tcW w:type="dxa" w:w="3480"/>
            <w:tcMar>
              <w:top w:w="25" w:type="dxa"/>
              <w:bottom w:w="25" w:type="dxa"/>
              <w:left w:w="45" w:type="dxa"/>
              <w:right w:w="45" w:type="dxa"/>
            </w:tcMar>
          </w:tcPr>
          <w:p>
            <w:r>
              <w:rPr>
                <w:rFonts w:ascii="Times New Roman" w:hAnsi="Times New Roman"/>
                <w:sz w:val="14"/>
              </w:rPr>
              <w:t>0.7</w:t>
            </w:r>
          </w:p>
        </w:tc>
      </w:tr>
      <w:tr>
        <w:tc>
          <w:tcPr>
            <w:tcW w:type="dxa" w:w="3480"/>
            <w:tcMar>
              <w:top w:w="25" w:type="dxa"/>
              <w:bottom w:w="25" w:type="dxa"/>
              <w:left w:w="45" w:type="dxa"/>
              <w:right w:w="45" w:type="dxa"/>
            </w:tcMar>
          </w:tcPr>
          <w:p>
            <w:r>
              <w:rPr>
                <w:rFonts w:ascii="Times New Roman" w:hAnsi="Times New Roman"/>
                <w:sz w:val="14"/>
              </w:rPr>
              <w:t>Pharmacy, fuel station</w:t>
            </w:r>
          </w:p>
        </w:tc>
        <w:tc>
          <w:tcPr>
            <w:tcW w:type="dxa" w:w="3480"/>
            <w:tcMar>
              <w:top w:w="25" w:type="dxa"/>
              <w:bottom w:w="25" w:type="dxa"/>
              <w:left w:w="45" w:type="dxa"/>
              <w:right w:w="45" w:type="dxa"/>
            </w:tcMar>
          </w:tcPr>
          <w:p>
            <w:r>
              <w:rPr>
                <w:rFonts w:ascii="Times New Roman" w:hAnsi="Times New Roman"/>
                <w:sz w:val="14"/>
              </w:rPr>
              <w:t>amenity=pharmacy, fuel</w:t>
            </w:r>
          </w:p>
        </w:tc>
        <w:tc>
          <w:tcPr>
            <w:tcW w:type="dxa" w:w="3480"/>
            <w:tcMar>
              <w:top w:w="25" w:type="dxa"/>
              <w:bottom w:w="25" w:type="dxa"/>
              <w:left w:w="45" w:type="dxa"/>
              <w:right w:w="45" w:type="dxa"/>
            </w:tcMar>
          </w:tcPr>
          <w:p>
            <w:r>
              <w:rPr>
                <w:rFonts w:ascii="Times New Roman" w:hAnsi="Times New Roman"/>
                <w:sz w:val="14"/>
              </w:rPr>
              <w:t>0.6</w:t>
            </w:r>
          </w:p>
        </w:tc>
      </w:tr>
      <w:tr>
        <w:tc>
          <w:tcPr>
            <w:tcW w:type="dxa" w:w="3480"/>
            <w:tcMar>
              <w:top w:w="25" w:type="dxa"/>
              <w:bottom w:w="25" w:type="dxa"/>
              <w:left w:w="45" w:type="dxa"/>
              <w:right w:w="45" w:type="dxa"/>
            </w:tcMar>
          </w:tcPr>
          <w:p>
            <w:r>
              <w:rPr>
                <w:rFonts w:ascii="Times New Roman" w:hAnsi="Times New Roman"/>
                <w:sz w:val="14"/>
              </w:rPr>
              <w:t>Bus station, convenience</w:t>
            </w:r>
          </w:p>
        </w:tc>
        <w:tc>
          <w:tcPr>
            <w:tcW w:type="dxa" w:w="3480"/>
            <w:tcMar>
              <w:top w:w="25" w:type="dxa"/>
              <w:bottom w:w="25" w:type="dxa"/>
              <w:left w:w="45" w:type="dxa"/>
              <w:right w:w="45" w:type="dxa"/>
            </w:tcMar>
          </w:tcPr>
          <w:p>
            <w:r>
              <w:rPr>
                <w:rFonts w:ascii="Times New Roman" w:hAnsi="Times New Roman"/>
                <w:sz w:val="14"/>
              </w:rPr>
              <w:t>amenity=bus_station; shop=convenience</w:t>
            </w:r>
          </w:p>
        </w:tc>
        <w:tc>
          <w:tcPr>
            <w:tcW w:type="dxa" w:w="3480"/>
            <w:tcMar>
              <w:top w:w="25" w:type="dxa"/>
              <w:bottom w:w="25" w:type="dxa"/>
              <w:left w:w="45" w:type="dxa"/>
              <w:right w:w="45" w:type="dxa"/>
            </w:tcMar>
          </w:tcPr>
          <w:p>
            <w:r>
              <w:rPr>
                <w:rFonts w:ascii="Times New Roman" w:hAnsi="Times New Roman"/>
                <w:sz w:val="14"/>
              </w:rPr>
              <w:t>0.5</w:t>
            </w:r>
          </w:p>
        </w:tc>
      </w:tr>
    </w:tbl>
    <w:p>
      <w:pPr>
        <w:keepNext/>
        <w:spacing w:before="120" w:after="40"/>
        <w:jc w:val="left"/>
      </w:pPr>
      <w:r>
        <w:rPr>
          <w:rFonts w:ascii="Times New Roman" w:hAnsi="Times New Roman"/>
          <w:i/>
          <w:sz w:val="19"/>
        </w:rPr>
        <w:t>G. SOS Alerting and Red-Zone Dwell Escalation</w:t>
      </w:r>
    </w:p>
    <w:p>
      <w:pPr>
        <w:spacing w:before="0" w:after="40" w:line="247" w:lineRule="auto"/>
        <w:ind w:firstLine="202"/>
        <w:jc w:val="both"/>
      </w:pPr>
      <w:r>
        <w:rPr>
          <w:rFonts w:ascii="Times New Roman" w:hAnsi="Times New Roman"/>
          <w:sz w:val="20"/>
        </w:rPr>
        <w:t>Users can add one to five emergency contacts, marking one as primary. The manual SOS trigger requires a continuous two-second button press and provides a five-second cancel countdown to stop false dispatches. Activation sends an emergency alert with coordinates, timestamps, and zone status to contacts and the analyst console via Twilio or local provider abstractions.</w:t>
      </w:r>
    </w:p>
    <w:p>
      <w:pPr>
        <w:spacing w:before="0" w:after="40" w:line="247" w:lineRule="auto"/>
        <w:ind w:firstLine="202"/>
        <w:jc w:val="both"/>
      </w:pPr>
      <w:r>
        <w:rPr>
          <w:rFonts w:ascii="Times New Roman" w:hAnsi="Times New Roman"/>
          <w:sz w:val="20"/>
        </w:rPr>
        <w:t>The automated escalation path handles emergencies where victims cannot operate their handsets. While the app is open and location sharing is active, client heartbeats send coordinates every 30 seconds. A per-user finite state machine (Fig. 6) transitions from SAFE to IN_RED upon entering a red zone. If stationary for T minutes (default 10, configurable from 5 to 30 min) without touch input, an 'Are you safe?' prompt rings for 60 seconds. If unanswered, an automated emergency payload is sent to primary contacts with last known coordinates. A 30-minute cooldown prevents repeated alerts.</w:t>
      </w:r>
    </w:p>
    <w:p>
      <w:pPr>
        <w:keepNext/>
        <w:spacing w:before="80" w:after="40"/>
        <w:jc w:val="center"/>
      </w:pPr>
      <w:r>
        <w:drawing>
          <wp:inline xmlns:a="http://schemas.openxmlformats.org/drawingml/2006/main" xmlns:pic="http://schemas.openxmlformats.org/drawingml/2006/picture">
            <wp:extent cx="3063240" cy="2353584"/>
            <wp:docPr id="6" name="Picture 6"/>
            <wp:cNvGraphicFramePr>
              <a:graphicFrameLocks noChangeAspect="1"/>
            </wp:cNvGraphicFramePr>
            <a:graphic>
              <a:graphicData uri="http://schemas.openxmlformats.org/drawingml/2006/picture">
                <pic:pic>
                  <pic:nvPicPr>
                    <pic:cNvPr id="0" name="fig6_state_machine.png"/>
                    <pic:cNvPicPr/>
                  </pic:nvPicPr>
                  <pic:blipFill>
                    <a:blip r:embed="rId14"/>
                    <a:stretch>
                      <a:fillRect/>
                    </a:stretch>
                  </pic:blipFill>
                  <pic:spPr>
                    <a:xfrm>
                      <a:off x="0" y="0"/>
                      <a:ext cx="3063240" cy="2353584"/>
                    </a:xfrm>
                    <a:prstGeom prst="rect"/>
                  </pic:spPr>
                </pic:pic>
              </a:graphicData>
            </a:graphic>
          </wp:inline>
        </w:drawing>
      </w:r>
    </w:p>
    <w:p>
      <w:pPr>
        <w:spacing w:before="0" w:after="100" w:line="240" w:lineRule="auto"/>
        <w:jc w:val="left"/>
      </w:pPr>
      <w:r>
        <w:rPr>
          <w:rFonts w:ascii="Times New Roman" w:hAnsi="Times New Roman"/>
          <w:b w:val="0"/>
          <w:sz w:val="16"/>
        </w:rPr>
        <w:t xml:space="preserve">Fig. 6. </w:t>
      </w:r>
      <w:r>
        <w:rPr>
          <w:rFonts w:ascii="Times New Roman" w:hAnsi="Times New Roman"/>
          <w:sz w:val="16"/>
        </w:rPr>
        <w:t>Red-zone dwell and inactivity state machine for automated emergency escalation.</w:t>
      </w:r>
    </w:p>
    <w:p>
      <w:pPr>
        <w:keepNext/>
        <w:spacing w:before="120" w:after="40"/>
        <w:jc w:val="left"/>
      </w:pPr>
      <w:r>
        <w:rPr>
          <w:rFonts w:ascii="Times New Roman" w:hAnsi="Times New Roman"/>
          <w:i/>
          <w:sz w:val="19"/>
        </w:rPr>
        <w:t>H. Privacy, Consent, and Security Safeguards</w:t>
      </w:r>
    </w:p>
    <w:p>
      <w:pPr>
        <w:spacing w:before="0" w:after="40" w:line="247" w:lineRule="auto"/>
        <w:ind w:firstLine="202"/>
        <w:jc w:val="both"/>
      </w:pPr>
      <w:r>
        <w:rPr>
          <w:rFonts w:ascii="Times New Roman" w:hAnsi="Times New Roman"/>
          <w:sz w:val="20"/>
        </w:rPr>
        <w:t>GPS coordinates are sensitive personal information [40]. In CrimeSense, location capture requires explicit user consent, and administrative live map tracking functions only for consenting accounts with active heartbeats, logging every view event immutably. Turning off location sharing suspends heartbeats and dwell alerting while leaving manual search operative. Sign-in supports salted password hashes and Google OAuth with audience and verified email validation [41]. The architecture aligns with India's Digital Personal Data Protection Act [42], supporting complete data deletion upon request.</w:t>
      </w:r>
    </w:p>
    <w:p>
      <w:pPr>
        <w:keepNext/>
        <w:spacing w:before="160" w:after="60"/>
        <w:jc w:val="center"/>
      </w:pPr>
      <w:r>
        <w:rPr>
          <w:rFonts w:ascii="Times New Roman" w:hAnsi="Times New Roman"/>
          <w:b w:val="0"/>
          <w:sz w:val="20"/>
        </w:rPr>
        <w:t>IV. IMPLEMENTATION STATUS AND VERIFICATION</w:t>
      </w:r>
    </w:p>
    <w:p>
      <w:pPr>
        <w:spacing w:before="0" w:after="40" w:line="247" w:lineRule="auto"/>
        <w:ind w:firstLine="202"/>
        <w:jc w:val="both"/>
      </w:pPr>
      <w:r>
        <w:rPr>
          <w:rFonts w:ascii="Times New Roman" w:hAnsi="Times New Roman"/>
          <w:sz w:val="20"/>
        </w:rPr>
        <w:t>Table V summarizes the current state of system components. Verified components have passed test scripts and health queries, partial components are functional but awaiting field deployment, while designed and planned modules represent theoretical formulations.</w:t>
      </w:r>
    </w:p>
    <w:p>
      <w:pPr>
        <w:keepNext/>
        <w:spacing w:before="120" w:after="20"/>
        <w:jc w:val="center"/>
      </w:pPr>
      <w:r>
        <w:rPr>
          <w:rFonts w:ascii="Times New Roman" w:hAnsi="Times New Roman"/>
          <w:sz w:val="16"/>
        </w:rPr>
        <w:t>TABLE V</w:t>
      </w:r>
    </w:p>
    <w:p>
      <w:pPr>
        <w:keepNext/>
        <w:spacing w:before="0" w:after="60"/>
        <w:jc w:val="center"/>
      </w:pPr>
      <w:r>
        <w:rPr>
          <w:rFonts w:ascii="Times New Roman" w:hAnsi="Times New Roman"/>
          <w:sz w:val="15"/>
        </w:rPr>
        <w:t>IMPLEMENTATION STATUS OF CRIMESENSE SYSTEM COMPONENTS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Component</w:t>
            </w:r>
          </w:p>
        </w:tc>
        <w:tc>
          <w:tcPr>
            <w:tcW w:type="dxa" w:w="3480"/>
            <w:tcMar>
              <w:top w:w="30" w:type="dxa"/>
              <w:bottom w:w="30" w:type="dxa"/>
              <w:left w:w="50" w:type="dxa"/>
              <w:right w:w="50" w:type="dxa"/>
            </w:tcMar>
          </w:tcPr>
          <w:p>
            <w:r>
              <w:rPr>
                <w:rFonts w:ascii="Times New Roman" w:hAnsi="Times New Roman"/>
                <w:b/>
                <w:sz w:val="15"/>
              </w:rPr>
              <w:t>Status</w:t>
            </w:r>
          </w:p>
        </w:tc>
        <w:tc>
          <w:tcPr>
            <w:tcW w:type="dxa" w:w="3480"/>
            <w:tcMar>
              <w:top w:w="30" w:type="dxa"/>
              <w:bottom w:w="30" w:type="dxa"/>
              <w:left w:w="50" w:type="dxa"/>
              <w:right w:w="50" w:type="dxa"/>
            </w:tcMar>
          </w:tcPr>
          <w:p>
            <w:r>
              <w:rPr>
                <w:rFonts w:ascii="Times New Roman" w:hAnsi="Times New Roman"/>
                <w:b/>
                <w:sz w:val="15"/>
              </w:rPr>
              <w:t>Verification Basis</w:t>
            </w:r>
          </w:p>
        </w:tc>
      </w:tr>
      <w:tr>
        <w:tc>
          <w:tcPr>
            <w:tcW w:type="dxa" w:w="3480"/>
            <w:tcMar>
              <w:top w:w="20" w:type="dxa"/>
              <w:bottom w:w="20" w:type="dxa"/>
              <w:left w:w="40" w:type="dxa"/>
              <w:right w:w="40" w:type="dxa"/>
            </w:tcMar>
          </w:tcPr>
          <w:p>
            <w:r>
              <w:rPr>
                <w:rFonts w:ascii="Times New Roman" w:hAnsi="Times New Roman"/>
                <w:sz w:val="14"/>
              </w:rPr>
              <w:t>Crime database (596 records)</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Database verifier and health endpoint</w:t>
            </w:r>
          </w:p>
        </w:tc>
      </w:tr>
      <w:tr>
        <w:tc>
          <w:tcPr>
            <w:tcW w:type="dxa" w:w="3480"/>
            <w:tcMar>
              <w:top w:w="20" w:type="dxa"/>
              <w:bottom w:w="20" w:type="dxa"/>
              <w:left w:w="40" w:type="dxa"/>
              <w:right w:w="40" w:type="dxa"/>
            </w:tcMar>
          </w:tcPr>
          <w:p>
            <w:r>
              <w:rPr>
                <w:rFonts w:ascii="Times New Roman" w:hAnsi="Times New Roman"/>
                <w:sz w:val="14"/>
              </w:rPr>
              <w:t>Record quality checks</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Quality audit script and Table VI</w:t>
            </w:r>
          </w:p>
        </w:tc>
      </w:tr>
      <w:tr>
        <w:tc>
          <w:tcPr>
            <w:tcW w:type="dxa" w:w="3480"/>
            <w:tcMar>
              <w:top w:w="20" w:type="dxa"/>
              <w:bottom w:w="20" w:type="dxa"/>
              <w:left w:w="40" w:type="dxa"/>
              <w:right w:w="40" w:type="dxa"/>
            </w:tcMar>
          </w:tcPr>
          <w:p>
            <w:r>
              <w:rPr>
                <w:rFonts w:ascii="Times New Roman" w:hAnsi="Times New Roman"/>
                <w:sz w:val="14"/>
              </w:rPr>
              <w:t>Email signup and login</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End-to-end flow verification tests</w:t>
            </w:r>
          </w:p>
        </w:tc>
      </w:tr>
      <w:tr>
        <w:tc>
          <w:tcPr>
            <w:tcW w:type="dxa" w:w="3480"/>
            <w:tcMar>
              <w:top w:w="20" w:type="dxa"/>
              <w:bottom w:w="20" w:type="dxa"/>
              <w:left w:w="40" w:type="dxa"/>
              <w:right w:w="40" w:type="dxa"/>
            </w:tcMar>
          </w:tcPr>
          <w:p>
            <w:r>
              <w:rPr>
                <w:rFonts w:ascii="Times New Roman" w:hAnsi="Times New Roman"/>
                <w:sz w:val="14"/>
              </w:rPr>
              <w:t>Role separated access guard</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Roles stored; access middleware active</w:t>
            </w:r>
          </w:p>
        </w:tc>
      </w:tr>
      <w:tr>
        <w:tc>
          <w:tcPr>
            <w:tcW w:type="dxa" w:w="3480"/>
            <w:tcMar>
              <w:top w:w="20" w:type="dxa"/>
              <w:bottom w:w="20" w:type="dxa"/>
              <w:left w:w="40" w:type="dxa"/>
              <w:right w:w="40" w:type="dxa"/>
            </w:tcMar>
          </w:tcPr>
          <w:p>
            <w:r>
              <w:rPr>
                <w:rFonts w:ascii="Times New Roman" w:hAnsi="Times New Roman"/>
                <w:sz w:val="14"/>
              </w:rPr>
              <w:t>Google OAuth 2.0 integration</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Sign-in test script and deduplication</w:t>
            </w:r>
          </w:p>
        </w:tc>
      </w:tr>
      <w:tr>
        <w:tc>
          <w:tcPr>
            <w:tcW w:type="dxa" w:w="3480"/>
            <w:tcMar>
              <w:top w:w="20" w:type="dxa"/>
              <w:bottom w:w="20" w:type="dxa"/>
              <w:left w:w="40" w:type="dxa"/>
              <w:right w:w="40" w:type="dxa"/>
            </w:tcMar>
          </w:tcPr>
          <w:p>
            <w:r>
              <w:rPr>
                <w:rFonts w:ascii="Times New Roman" w:hAnsi="Times New Roman"/>
                <w:sz w:val="14"/>
              </w:rPr>
              <w:t>Admin KPIs, charts, and CRUD</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Database-backed live queries</w:t>
            </w:r>
          </w:p>
        </w:tc>
      </w:tr>
      <w:tr>
        <w:tc>
          <w:tcPr>
            <w:tcW w:type="dxa" w:w="3480"/>
            <w:tcMar>
              <w:top w:w="20" w:type="dxa"/>
              <w:bottom w:w="20" w:type="dxa"/>
              <w:left w:w="40" w:type="dxa"/>
              <w:right w:w="40" w:type="dxa"/>
            </w:tcMar>
          </w:tcPr>
          <w:p>
            <w:r>
              <w:rPr>
                <w:rFonts w:ascii="Times New Roman" w:hAnsi="Times New Roman"/>
                <w:sz w:val="14"/>
              </w:rPr>
              <w:t>Consent gated live map, audit log</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Audit trail records verified</w:t>
            </w:r>
          </w:p>
        </w:tc>
      </w:tr>
      <w:tr>
        <w:tc>
          <w:tcPr>
            <w:tcW w:type="dxa" w:w="3480"/>
            <w:tcMar>
              <w:top w:w="20" w:type="dxa"/>
              <w:bottom w:w="20" w:type="dxa"/>
              <w:left w:w="40" w:type="dxa"/>
              <w:right w:w="40" w:type="dxa"/>
            </w:tcMar>
          </w:tcPr>
          <w:p>
            <w:r>
              <w:rPr>
                <w:rFonts w:ascii="Times New Roman" w:hAnsi="Times New Roman"/>
                <w:sz w:val="14"/>
              </w:rPr>
              <w:t>Contacts, saved places persistence</w:t>
            </w:r>
          </w:p>
        </w:tc>
        <w:tc>
          <w:tcPr>
            <w:tcW w:type="dxa" w:w="3480"/>
            <w:tcMar>
              <w:top w:w="20" w:type="dxa"/>
              <w:bottom w:w="20" w:type="dxa"/>
              <w:left w:w="40" w:type="dxa"/>
              <w:right w:w="40" w:type="dxa"/>
            </w:tcMar>
          </w:tcPr>
          <w:p>
            <w:r>
              <w:rPr>
                <w:rFonts w:ascii="Times New Roman" w:hAnsi="Times New Roman"/>
                <w:sz w:val="14"/>
              </w:rPr>
              <w:t>Verified</w:t>
            </w:r>
          </w:p>
        </w:tc>
        <w:tc>
          <w:tcPr>
            <w:tcW w:type="dxa" w:w="3480"/>
            <w:tcMar>
              <w:top w:w="20" w:type="dxa"/>
              <w:bottom w:w="20" w:type="dxa"/>
              <w:left w:w="40" w:type="dxa"/>
              <w:right w:w="40" w:type="dxa"/>
            </w:tcMar>
          </w:tcPr>
          <w:p>
            <w:r>
              <w:rPr>
                <w:rFonts w:ascii="Times New Roman" w:hAnsi="Times New Roman"/>
                <w:sz w:val="14"/>
              </w:rPr>
              <w:t>Full flow database test scripts</w:t>
            </w:r>
          </w:p>
        </w:tc>
      </w:tr>
      <w:tr>
        <w:tc>
          <w:tcPr>
            <w:tcW w:type="dxa" w:w="3480"/>
            <w:tcMar>
              <w:top w:w="20" w:type="dxa"/>
              <w:bottom w:w="20" w:type="dxa"/>
              <w:left w:w="40" w:type="dxa"/>
              <w:right w:w="40" w:type="dxa"/>
            </w:tcMar>
          </w:tcPr>
          <w:p>
            <w:r>
              <w:rPr>
                <w:rFonts w:ascii="Times New Roman" w:hAnsi="Times New Roman"/>
                <w:sz w:val="14"/>
              </w:rPr>
              <w:t>Notification provider (Twilio/Log)</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Local logging tested; live trial pending</w:t>
            </w:r>
          </w:p>
        </w:tc>
      </w:tr>
      <w:tr>
        <w:tc>
          <w:tcPr>
            <w:tcW w:type="dxa" w:w="3480"/>
            <w:tcMar>
              <w:top w:w="20" w:type="dxa"/>
              <w:bottom w:w="20" w:type="dxa"/>
              <w:left w:w="40" w:type="dxa"/>
              <w:right w:w="40" w:type="dxa"/>
            </w:tcMar>
          </w:tcPr>
          <w:p>
            <w:r>
              <w:rPr>
                <w:rFonts w:ascii="Times New Roman" w:hAnsi="Times New Roman"/>
                <w:sz w:val="14"/>
              </w:rPr>
              <w:t>Red-zone dwell state monitoring</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State table verified; hardware trial pending</w:t>
            </w:r>
          </w:p>
        </w:tc>
      </w:tr>
      <w:tr>
        <w:tc>
          <w:tcPr>
            <w:tcW w:type="dxa" w:w="3480"/>
            <w:tcMar>
              <w:top w:w="20" w:type="dxa"/>
              <w:bottom w:w="20" w:type="dxa"/>
              <w:left w:w="40" w:type="dxa"/>
              <w:right w:w="40" w:type="dxa"/>
            </w:tcMar>
          </w:tcPr>
          <w:p>
            <w:r>
              <w:rPr>
                <w:rFonts w:ascii="Times New Roman" w:hAnsi="Times New Roman"/>
                <w:sz w:val="14"/>
              </w:rPr>
              <w:t>Zone classification with Table II</w:t>
            </w:r>
          </w:p>
        </w:tc>
        <w:tc>
          <w:tcPr>
            <w:tcW w:type="dxa" w:w="3480"/>
            <w:tcMar>
              <w:top w:w="20" w:type="dxa"/>
              <w:bottom w:w="20" w:type="dxa"/>
              <w:left w:w="40" w:type="dxa"/>
              <w:right w:w="40" w:type="dxa"/>
            </w:tcMar>
          </w:tcPr>
          <w:p>
            <w:r>
              <w:rPr>
                <w:rFonts w:ascii="Times New Roman" w:hAnsi="Times New Roman"/>
                <w:sz w:val="14"/>
              </w:rPr>
              <w:t>Designed</w:t>
            </w:r>
          </w:p>
        </w:tc>
        <w:tc>
          <w:tcPr>
            <w:tcW w:type="dxa" w:w="3480"/>
            <w:tcMar>
              <w:top w:w="20" w:type="dxa"/>
              <w:bottom w:w="20" w:type="dxa"/>
              <w:left w:w="40" w:type="dxa"/>
              <w:right w:w="40" w:type="dxa"/>
            </w:tcMar>
          </w:tcPr>
          <w:p>
            <w:r>
              <w:rPr>
                <w:rFonts w:ascii="Times New Roman" w:hAnsi="Times New Roman"/>
                <w:sz w:val="14"/>
              </w:rPr>
              <w:t>Formulated; parameter tuning pending</w:t>
            </w:r>
          </w:p>
        </w:tc>
      </w:tr>
      <w:tr>
        <w:tc>
          <w:tcPr>
            <w:tcW w:type="dxa" w:w="3480"/>
            <w:tcMar>
              <w:top w:w="20" w:type="dxa"/>
              <w:bottom w:w="20" w:type="dxa"/>
              <w:left w:w="40" w:type="dxa"/>
              <w:right w:w="40" w:type="dxa"/>
            </w:tcMar>
          </w:tcPr>
          <w:p>
            <w:r>
              <w:rPr>
                <w:rFonts w:ascii="Times New Roman" w:hAnsi="Times New Roman"/>
                <w:sz w:val="14"/>
              </w:rPr>
              <w:t>Hotspot clustering (DBSCAN)</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KPI uses coordinate aggregation proxy</w:t>
            </w:r>
          </w:p>
        </w:tc>
      </w:tr>
      <w:tr>
        <w:tc>
          <w:tcPr>
            <w:tcW w:type="dxa" w:w="3480"/>
            <w:tcMar>
              <w:top w:w="20" w:type="dxa"/>
              <w:bottom w:w="20" w:type="dxa"/>
              <w:left w:w="40" w:type="dxa"/>
              <w:right w:w="40" w:type="dxa"/>
            </w:tcMar>
          </w:tcPr>
          <w:p>
            <w:r>
              <w:rPr>
                <w:rFonts w:ascii="Times New Roman" w:hAnsi="Times New Roman"/>
                <w:sz w:val="14"/>
              </w:rPr>
              <w:t>Link sharing and export</w:t>
            </w:r>
          </w:p>
        </w:tc>
        <w:tc>
          <w:tcPr>
            <w:tcW w:type="dxa" w:w="3480"/>
            <w:tcMar>
              <w:top w:w="20" w:type="dxa"/>
              <w:bottom w:w="20" w:type="dxa"/>
              <w:left w:w="40" w:type="dxa"/>
              <w:right w:w="40" w:type="dxa"/>
            </w:tcMar>
          </w:tcPr>
          <w:p>
            <w:r>
              <w:rPr>
                <w:rFonts w:ascii="Times New Roman" w:hAnsi="Times New Roman"/>
                <w:sz w:val="14"/>
              </w:rPr>
              <w:t>Partial</w:t>
            </w:r>
          </w:p>
        </w:tc>
        <w:tc>
          <w:tcPr>
            <w:tcW w:type="dxa" w:w="3480"/>
            <w:tcMar>
              <w:top w:w="20" w:type="dxa"/>
              <w:bottom w:w="20" w:type="dxa"/>
              <w:left w:w="40" w:type="dxa"/>
              <w:right w:w="40" w:type="dxa"/>
            </w:tcMar>
          </w:tcPr>
          <w:p>
            <w:r>
              <w:rPr>
                <w:rFonts w:ascii="Times New Roman" w:hAnsi="Times New Roman"/>
                <w:sz w:val="14"/>
              </w:rPr>
              <w:t>Shared links table operational</w:t>
            </w:r>
          </w:p>
        </w:tc>
      </w:tr>
      <w:tr>
        <w:tc>
          <w:tcPr>
            <w:tcW w:type="dxa" w:w="3480"/>
            <w:tcMar>
              <w:top w:w="20" w:type="dxa"/>
              <w:bottom w:w="20" w:type="dxa"/>
              <w:left w:w="40" w:type="dxa"/>
              <w:right w:w="40" w:type="dxa"/>
            </w:tcMar>
          </w:tcPr>
          <w:p>
            <w:r>
              <w:rPr>
                <w:rFonts w:ascii="Times New Roman" w:hAnsi="Times New Roman"/>
                <w:sz w:val="14"/>
              </w:rPr>
              <w:t>Pre-visit advisory generator</w:t>
            </w:r>
          </w:p>
        </w:tc>
        <w:tc>
          <w:tcPr>
            <w:tcW w:type="dxa" w:w="3480"/>
            <w:tcMar>
              <w:top w:w="20" w:type="dxa"/>
              <w:bottom w:w="20" w:type="dxa"/>
              <w:left w:w="40" w:type="dxa"/>
              <w:right w:w="40" w:type="dxa"/>
            </w:tcMar>
          </w:tcPr>
          <w:p>
            <w:r>
              <w:rPr>
                <w:rFonts w:ascii="Times New Roman" w:hAnsi="Times New Roman"/>
                <w:sz w:val="14"/>
              </w:rPr>
              <w:t>Designed</w:t>
            </w:r>
          </w:p>
        </w:tc>
        <w:tc>
          <w:tcPr>
            <w:tcW w:type="dxa" w:w="3480"/>
            <w:tcMar>
              <w:top w:w="20" w:type="dxa"/>
              <w:bottom w:w="20" w:type="dxa"/>
              <w:left w:w="40" w:type="dxa"/>
              <w:right w:w="40" w:type="dxa"/>
            </w:tcMar>
          </w:tcPr>
          <w:p>
            <w:r>
              <w:rPr>
                <w:rFonts w:ascii="Times New Roman" w:hAnsi="Times New Roman"/>
                <w:sz w:val="14"/>
              </w:rPr>
              <w:t>Rules defined in Table III</w:t>
            </w:r>
          </w:p>
        </w:tc>
      </w:tr>
      <w:tr>
        <w:tc>
          <w:tcPr>
            <w:tcW w:type="dxa" w:w="3480"/>
            <w:tcMar>
              <w:top w:w="20" w:type="dxa"/>
              <w:bottom w:w="20" w:type="dxa"/>
              <w:left w:w="40" w:type="dxa"/>
              <w:right w:w="40" w:type="dxa"/>
            </w:tcMar>
          </w:tcPr>
          <w:p>
            <w:r>
              <w:rPr>
                <w:rFonts w:ascii="Times New Roman" w:hAnsi="Times New Roman"/>
                <w:sz w:val="14"/>
              </w:rPr>
              <w:t>Safe haven finder</w:t>
            </w:r>
          </w:p>
        </w:tc>
        <w:tc>
          <w:tcPr>
            <w:tcW w:type="dxa" w:w="3480"/>
            <w:tcMar>
              <w:top w:w="20" w:type="dxa"/>
              <w:bottom w:w="20" w:type="dxa"/>
              <w:left w:w="40" w:type="dxa"/>
              <w:right w:w="40" w:type="dxa"/>
            </w:tcMar>
          </w:tcPr>
          <w:p>
            <w:r>
              <w:rPr>
                <w:rFonts w:ascii="Times New Roman" w:hAnsi="Times New Roman"/>
                <w:sz w:val="14"/>
              </w:rPr>
              <w:t>Designed</w:t>
            </w:r>
          </w:p>
        </w:tc>
        <w:tc>
          <w:tcPr>
            <w:tcW w:type="dxa" w:w="3480"/>
            <w:tcMar>
              <w:top w:w="20" w:type="dxa"/>
              <w:bottom w:w="20" w:type="dxa"/>
              <w:left w:w="40" w:type="dxa"/>
              <w:right w:w="40" w:type="dxa"/>
            </w:tcMar>
          </w:tcPr>
          <w:p>
            <w:r>
              <w:rPr>
                <w:rFonts w:ascii="Times New Roman" w:hAnsi="Times New Roman"/>
                <w:sz w:val="14"/>
              </w:rPr>
              <w:t>Scoring utility in Eq. (7)</w:t>
            </w:r>
          </w:p>
        </w:tc>
      </w:tr>
      <w:tr>
        <w:tc>
          <w:tcPr>
            <w:tcW w:type="dxa" w:w="3480"/>
            <w:tcMar>
              <w:top w:w="20" w:type="dxa"/>
              <w:bottom w:w="20" w:type="dxa"/>
              <w:left w:w="40" w:type="dxa"/>
              <w:right w:w="40" w:type="dxa"/>
            </w:tcMar>
          </w:tcPr>
          <w:p>
            <w:r>
              <w:rPr>
                <w:rFonts w:ascii="Times New Roman" w:hAnsi="Times New Roman"/>
                <w:sz w:val="14"/>
              </w:rPr>
              <w:t>Pattern recurrence analysis</w:t>
            </w:r>
          </w:p>
        </w:tc>
        <w:tc>
          <w:tcPr>
            <w:tcW w:type="dxa" w:w="3480"/>
            <w:tcMar>
              <w:top w:w="20" w:type="dxa"/>
              <w:bottom w:w="20" w:type="dxa"/>
              <w:left w:w="40" w:type="dxa"/>
              <w:right w:w="40" w:type="dxa"/>
            </w:tcMar>
          </w:tcPr>
          <w:p>
            <w:r>
              <w:rPr>
                <w:rFonts w:ascii="Times New Roman" w:hAnsi="Times New Roman"/>
                <w:sz w:val="14"/>
              </w:rPr>
              <w:t>Planned</w:t>
            </w:r>
          </w:p>
        </w:tc>
        <w:tc>
          <w:tcPr>
            <w:tcW w:type="dxa" w:w="3480"/>
            <w:tcMar>
              <w:top w:w="20" w:type="dxa"/>
              <w:bottom w:w="20" w:type="dxa"/>
              <w:left w:w="40" w:type="dxa"/>
              <w:right w:w="40" w:type="dxa"/>
            </w:tcMar>
          </w:tcPr>
          <w:p>
            <w:r>
              <w:rPr>
                <w:rFonts w:ascii="Times New Roman" w:hAnsi="Times New Roman"/>
                <w:sz w:val="14"/>
              </w:rPr>
              <w:t>Evaluation protocol in Section VI</w:t>
            </w:r>
          </w:p>
        </w:tc>
      </w:tr>
    </w:tbl>
    <w:p>
      <w:pPr>
        <w:spacing w:before="0" w:after="40" w:line="247" w:lineRule="auto"/>
        <w:ind w:firstLine="202"/>
        <w:jc w:val="both"/>
      </w:pPr>
      <w:r>
        <w:rPr>
          <w:rFonts w:ascii="Times New Roman" w:hAnsi="Times New Roman"/>
          <w:sz w:val="20"/>
        </w:rPr>
        <w:t>System verification executed on 11 October 2026 confirmed 596 crime rows in SQLite, single administrator initialization, and 11 relational tables. In this audit, 'verified' indicates that each record has a validated source news URL, geocoded coordinates inside study bounds, standardized dates, and zero duplicate articles. The health endpoint returned database connected status with zero lingering test records.</w:t>
      </w:r>
    </w:p>
    <w:p>
      <w:pPr>
        <w:keepNext/>
        <w:spacing w:before="120" w:after="20"/>
        <w:jc w:val="center"/>
      </w:pPr>
      <w:r>
        <w:rPr>
          <w:rFonts w:ascii="Times New Roman" w:hAnsi="Times New Roman"/>
          <w:sz w:val="16"/>
        </w:rPr>
        <w:t>TABLE VI</w:t>
      </w:r>
    </w:p>
    <w:p>
      <w:pPr>
        <w:keepNext/>
        <w:spacing w:before="0" w:after="60"/>
        <w:jc w:val="center"/>
      </w:pPr>
      <w:r>
        <w:rPr>
          <w:rFonts w:ascii="Times New Roman" w:hAnsi="Times New Roman"/>
          <w:sz w:val="15"/>
        </w:rPr>
        <w:t>VERIFICATION SUMMARY OF THE CRIMES TABLE (N = 596)</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5220"/>
        <w:gridCol w:w="5220"/>
      </w:tblGrid>
      <w:tr>
        <w:tc>
          <w:tcPr>
            <w:tcW w:type="dxa" w:w="5220"/>
            <w:tcMar>
              <w:top w:w="30" w:type="dxa"/>
              <w:bottom w:w="30" w:type="dxa"/>
              <w:left w:w="50" w:type="dxa"/>
              <w:right w:w="50" w:type="dxa"/>
            </w:tcMar>
          </w:tcPr>
          <w:p>
            <w:r>
              <w:rPr>
                <w:rFonts w:ascii="Times New Roman" w:hAnsi="Times New Roman"/>
                <w:b/>
                <w:sz w:val="15"/>
              </w:rPr>
              <w:t>Audit Check</w:t>
            </w:r>
          </w:p>
        </w:tc>
        <w:tc>
          <w:tcPr>
            <w:tcW w:type="dxa" w:w="5220"/>
            <w:tcMar>
              <w:top w:w="30" w:type="dxa"/>
              <w:bottom w:w="30" w:type="dxa"/>
              <w:left w:w="50" w:type="dxa"/>
              <w:right w:w="50" w:type="dxa"/>
            </w:tcMar>
          </w:tcPr>
          <w:p>
            <w:r>
              <w:rPr>
                <w:rFonts w:ascii="Times New Roman" w:hAnsi="Times New Roman"/>
                <w:b/>
                <w:sz w:val="15"/>
              </w:rPr>
              <w:t>Observed Result</w:t>
            </w:r>
          </w:p>
        </w:tc>
      </w:tr>
      <w:tr>
        <w:tc>
          <w:tcPr>
            <w:tcW w:type="dxa" w:w="5220"/>
            <w:tcMar>
              <w:top w:w="25" w:type="dxa"/>
              <w:bottom w:w="25" w:type="dxa"/>
              <w:left w:w="45" w:type="dxa"/>
              <w:right w:w="45" w:type="dxa"/>
            </w:tcMar>
          </w:tcPr>
          <w:p>
            <w:r>
              <w:rPr>
                <w:rFonts w:ascii="Times New Roman" w:hAnsi="Times New Roman"/>
                <w:sz w:val="14"/>
              </w:rPr>
              <w:t>Records with valid source web link</w:t>
            </w:r>
          </w:p>
        </w:tc>
        <w:tc>
          <w:tcPr>
            <w:tcW w:type="dxa" w:w="5220"/>
            <w:tcMar>
              <w:top w:w="25" w:type="dxa"/>
              <w:bottom w:w="25" w:type="dxa"/>
              <w:left w:w="45" w:type="dxa"/>
              <w:right w:w="45" w:type="dxa"/>
            </w:tcMar>
          </w:tcPr>
          <w:p>
            <w:r>
              <w:rPr>
                <w:rFonts w:ascii="Times New Roman" w:hAnsi="Times New Roman"/>
                <w:sz w:val="14"/>
              </w:rPr>
              <w:t>596 of 596 (100.00%)</w:t>
            </w:r>
          </w:p>
        </w:tc>
      </w:tr>
      <w:tr>
        <w:tc>
          <w:tcPr>
            <w:tcW w:type="dxa" w:w="5220"/>
            <w:tcMar>
              <w:top w:w="25" w:type="dxa"/>
              <w:bottom w:w="25" w:type="dxa"/>
              <w:left w:w="45" w:type="dxa"/>
              <w:right w:w="45" w:type="dxa"/>
            </w:tcMar>
          </w:tcPr>
          <w:p>
            <w:r>
              <w:rPr>
                <w:rFonts w:ascii="Times New Roman" w:hAnsi="Times New Roman"/>
                <w:sz w:val="14"/>
              </w:rPr>
              <w:t>Coordinates inside study bounds</w:t>
            </w:r>
          </w:p>
        </w:tc>
        <w:tc>
          <w:tcPr>
            <w:tcW w:type="dxa" w:w="5220"/>
            <w:tcMar>
              <w:top w:w="25" w:type="dxa"/>
              <w:bottom w:w="25" w:type="dxa"/>
              <w:left w:w="45" w:type="dxa"/>
              <w:right w:w="45" w:type="dxa"/>
            </w:tcMar>
          </w:tcPr>
          <w:p>
            <w:r>
              <w:rPr>
                <w:rFonts w:ascii="Times New Roman" w:hAnsi="Times New Roman"/>
                <w:sz w:val="14"/>
              </w:rPr>
              <w:t>596 of 596 (lat 9.93 to 13.08, lng 76.96 to 80.27)</w:t>
            </w:r>
          </w:p>
        </w:tc>
      </w:tr>
      <w:tr>
        <w:tc>
          <w:tcPr>
            <w:tcW w:type="dxa" w:w="5220"/>
            <w:tcMar>
              <w:top w:w="25" w:type="dxa"/>
              <w:bottom w:w="25" w:type="dxa"/>
              <w:left w:w="45" w:type="dxa"/>
              <w:right w:w="45" w:type="dxa"/>
            </w:tcMar>
          </w:tcPr>
          <w:p>
            <w:r>
              <w:rPr>
                <w:rFonts w:ascii="Times New Roman" w:hAnsi="Times New Roman"/>
                <w:sz w:val="14"/>
              </w:rPr>
              <w:t>Unique coordinate pairs (entire dataset)</w:t>
            </w:r>
          </w:p>
        </w:tc>
        <w:tc>
          <w:tcPr>
            <w:tcW w:type="dxa" w:w="5220"/>
            <w:tcMar>
              <w:top w:w="25" w:type="dxa"/>
              <w:bottom w:w="25" w:type="dxa"/>
              <w:left w:w="45" w:type="dxa"/>
              <w:right w:w="45" w:type="dxa"/>
            </w:tcMar>
          </w:tcPr>
          <w:p>
            <w:r>
              <w:rPr>
                <w:rFonts w:ascii="Times New Roman" w:hAnsi="Times New Roman"/>
                <w:sz w:val="14"/>
              </w:rPr>
              <w:t>25 unique coordinates (16 in Vellore district)</w:t>
            </w:r>
          </w:p>
        </w:tc>
      </w:tr>
      <w:tr>
        <w:tc>
          <w:tcPr>
            <w:tcW w:type="dxa" w:w="5220"/>
            <w:tcMar>
              <w:top w:w="25" w:type="dxa"/>
              <w:bottom w:w="25" w:type="dxa"/>
              <w:left w:w="45" w:type="dxa"/>
              <w:right w:w="45" w:type="dxa"/>
            </w:tcMar>
          </w:tcPr>
          <w:p>
            <w:r>
              <w:rPr>
                <w:rFonts w:ascii="Times New Roman" w:hAnsi="Times New Roman"/>
                <w:sz w:val="14"/>
              </w:rPr>
              <w:t>Primary centroid concentration</w:t>
            </w:r>
          </w:p>
        </w:tc>
        <w:tc>
          <w:tcPr>
            <w:tcW w:type="dxa" w:w="5220"/>
            <w:tcMar>
              <w:top w:w="25" w:type="dxa"/>
              <w:bottom w:w="25" w:type="dxa"/>
              <w:left w:w="45" w:type="dxa"/>
              <w:right w:w="45" w:type="dxa"/>
            </w:tcMar>
          </w:tcPr>
          <w:p>
            <w:r>
              <w:rPr>
                <w:rFonts w:ascii="Times New Roman" w:hAnsi="Times New Roman"/>
                <w:sz w:val="14"/>
              </w:rPr>
              <w:t>469 of 596 records (78.69%) at (12.9165, 79.1325)</w:t>
            </w:r>
          </w:p>
        </w:tc>
      </w:tr>
      <w:tr>
        <w:tc>
          <w:tcPr>
            <w:tcW w:type="dxa" w:w="5220"/>
            <w:tcMar>
              <w:top w:w="25" w:type="dxa"/>
              <w:bottom w:w="25" w:type="dxa"/>
              <w:left w:w="45" w:type="dxa"/>
              <w:right w:w="45" w:type="dxa"/>
            </w:tcMar>
          </w:tcPr>
          <w:p>
            <w:r>
              <w:rPr>
                <w:rFonts w:ascii="Times New Roman" w:hAnsi="Times New Roman"/>
                <w:sz w:val="14"/>
              </w:rPr>
              <w:t>District distribution</w:t>
            </w:r>
          </w:p>
        </w:tc>
        <w:tc>
          <w:tcPr>
            <w:tcW w:type="dxa" w:w="5220"/>
            <w:tcMar>
              <w:top w:w="25" w:type="dxa"/>
              <w:bottom w:w="25" w:type="dxa"/>
              <w:left w:w="45" w:type="dxa"/>
              <w:right w:w="45" w:type="dxa"/>
            </w:tcMar>
          </w:tcPr>
          <w:p>
            <w:r>
              <w:rPr>
                <w:rFonts w:ascii="Times New Roman" w:hAnsi="Times New Roman"/>
                <w:sz w:val="14"/>
              </w:rPr>
              <w:t>552 Vellore (92.62%), 44 regional/external (7.38%)</w:t>
            </w:r>
          </w:p>
        </w:tc>
      </w:tr>
      <w:tr>
        <w:tc>
          <w:tcPr>
            <w:tcW w:type="dxa" w:w="5220"/>
            <w:tcMar>
              <w:top w:w="25" w:type="dxa"/>
              <w:bottom w:w="25" w:type="dxa"/>
              <w:left w:w="45" w:type="dxa"/>
              <w:right w:w="45" w:type="dxa"/>
            </w:tcMar>
          </w:tcPr>
          <w:p>
            <w:r>
              <w:rPr>
                <w:rFonts w:ascii="Times New Roman" w:hAnsi="Times New Roman"/>
                <w:sz w:val="14"/>
              </w:rPr>
              <w:t>Valid standardized ISO dates</w:t>
            </w:r>
          </w:p>
        </w:tc>
        <w:tc>
          <w:tcPr>
            <w:tcW w:type="dxa" w:w="5220"/>
            <w:tcMar>
              <w:top w:w="25" w:type="dxa"/>
              <w:bottom w:w="25" w:type="dxa"/>
              <w:left w:w="45" w:type="dxa"/>
              <w:right w:w="45" w:type="dxa"/>
            </w:tcMar>
          </w:tcPr>
          <w:p>
            <w:r>
              <w:rPr>
                <w:rFonts w:ascii="Times New Roman" w:hAnsi="Times New Roman"/>
                <w:sz w:val="14"/>
              </w:rPr>
              <w:t>596 of 596 (100.00%)</w:t>
            </w:r>
          </w:p>
        </w:tc>
      </w:tr>
      <w:tr>
        <w:tc>
          <w:tcPr>
            <w:tcW w:type="dxa" w:w="5220"/>
            <w:tcMar>
              <w:top w:w="25" w:type="dxa"/>
              <w:bottom w:w="25" w:type="dxa"/>
              <w:left w:w="45" w:type="dxa"/>
              <w:right w:w="45" w:type="dxa"/>
            </w:tcMar>
          </w:tcPr>
          <w:p>
            <w:r>
              <w:rPr>
                <w:rFonts w:ascii="Times New Roman" w:hAnsi="Times New Roman"/>
                <w:sz w:val="14"/>
              </w:rPr>
              <w:t>Duplicate article identifiers</w:t>
            </w:r>
          </w:p>
        </w:tc>
        <w:tc>
          <w:tcPr>
            <w:tcW w:type="dxa" w:w="5220"/>
            <w:tcMar>
              <w:top w:w="25" w:type="dxa"/>
              <w:bottom w:w="25" w:type="dxa"/>
              <w:left w:w="45" w:type="dxa"/>
              <w:right w:w="45" w:type="dxa"/>
            </w:tcMar>
          </w:tcPr>
          <w:p>
            <w:r>
              <w:rPr>
                <w:rFonts w:ascii="Times New Roman" w:hAnsi="Times New Roman"/>
                <w:sz w:val="14"/>
              </w:rPr>
              <w:t>0 (Zero duplicates)</w:t>
            </w:r>
          </w:p>
        </w:tc>
      </w:tr>
      <w:tr>
        <w:tc>
          <w:tcPr>
            <w:tcW w:type="dxa" w:w="5220"/>
            <w:tcMar>
              <w:top w:w="25" w:type="dxa"/>
              <w:bottom w:w="25" w:type="dxa"/>
              <w:left w:w="45" w:type="dxa"/>
              <w:right w:w="45" w:type="dxa"/>
            </w:tcMar>
          </w:tcPr>
          <w:p>
            <w:r>
              <w:rPr>
                <w:rFonts w:ascii="Times New Roman" w:hAnsi="Times New Roman"/>
                <w:sz w:val="14"/>
              </w:rPr>
              <w:t>Severity score spectrum; mean</w:t>
            </w:r>
          </w:p>
        </w:tc>
        <w:tc>
          <w:tcPr>
            <w:tcW w:type="dxa" w:w="5220"/>
            <w:tcMar>
              <w:top w:w="25" w:type="dxa"/>
              <w:bottom w:w="25" w:type="dxa"/>
              <w:left w:w="45" w:type="dxa"/>
              <w:right w:w="45" w:type="dxa"/>
            </w:tcMar>
          </w:tcPr>
          <w:p>
            <w:r>
              <w:rPr>
                <w:rFonts w:ascii="Times New Roman" w:hAnsi="Times New Roman"/>
                <w:sz w:val="14"/>
              </w:rPr>
              <w:t>2.0 to 10.0; Mean: 5.92</w:t>
            </w:r>
          </w:p>
        </w:tc>
      </w:tr>
      <w:tr>
        <w:tc>
          <w:tcPr>
            <w:tcW w:type="dxa" w:w="5220"/>
            <w:tcMar>
              <w:top w:w="25" w:type="dxa"/>
              <w:bottom w:w="25" w:type="dxa"/>
              <w:left w:w="45" w:type="dxa"/>
              <w:right w:w="45" w:type="dxa"/>
            </w:tcMar>
          </w:tcPr>
          <w:p>
            <w:r>
              <w:rPr>
                <w:rFonts w:ascii="Times New Roman" w:hAnsi="Times New Roman"/>
                <w:sz w:val="14"/>
              </w:rPr>
              <w:t>Risk level split (High / Med / Low)</w:t>
            </w:r>
          </w:p>
        </w:tc>
        <w:tc>
          <w:tcPr>
            <w:tcW w:type="dxa" w:w="5220"/>
            <w:tcMar>
              <w:top w:w="25" w:type="dxa"/>
              <w:bottom w:w="25" w:type="dxa"/>
              <w:left w:w="45" w:type="dxa"/>
              <w:right w:w="45" w:type="dxa"/>
            </w:tcMar>
          </w:tcPr>
          <w:p>
            <w:r>
              <w:rPr>
                <w:rFonts w:ascii="Times New Roman" w:hAnsi="Times New Roman"/>
                <w:sz w:val="14"/>
              </w:rPr>
              <w:t>150 High / 138 Medium / 308 Low</w:t>
            </w:r>
          </w:p>
        </w:tc>
      </w:tr>
      <w:tr>
        <w:tc>
          <w:tcPr>
            <w:tcW w:type="dxa" w:w="5220"/>
            <w:tcMar>
              <w:top w:w="25" w:type="dxa"/>
              <w:bottom w:w="25" w:type="dxa"/>
              <w:left w:w="45" w:type="dxa"/>
              <w:right w:w="45" w:type="dxa"/>
            </w:tcMar>
          </w:tcPr>
          <w:p>
            <w:r>
              <w:rPr>
                <w:rFonts w:ascii="Times New Roman" w:hAnsi="Times New Roman"/>
                <w:sz w:val="14"/>
              </w:rPr>
              <w:t>Rows in user, settings, audit tables</w:t>
            </w:r>
          </w:p>
        </w:tc>
        <w:tc>
          <w:tcPr>
            <w:tcW w:type="dxa" w:w="5220"/>
            <w:tcMar>
              <w:top w:w="25" w:type="dxa"/>
              <w:bottom w:w="25" w:type="dxa"/>
              <w:left w:w="45" w:type="dxa"/>
              <w:right w:w="45" w:type="dxa"/>
            </w:tcMar>
          </w:tcPr>
          <w:p>
            <w:r>
              <w:rPr>
                <w:rFonts w:ascii="Times New Roman" w:hAnsi="Times New Roman"/>
                <w:sz w:val="14"/>
              </w:rPr>
              <w:t>1, 1, 6 (Production baseline)</w:t>
            </w:r>
          </w:p>
        </w:tc>
      </w:tr>
    </w:tbl>
    <w:p>
      <w:pPr>
        <w:keepNext/>
        <w:spacing w:before="160" w:after="60"/>
        <w:jc w:val="center"/>
      </w:pPr>
      <w:r>
        <w:rPr>
          <w:rFonts w:ascii="Times New Roman" w:hAnsi="Times New Roman"/>
          <w:b w:val="0"/>
          <w:sz w:val="20"/>
        </w:rPr>
        <w:t>V. DATASET AND CURRENT RESULTS</w:t>
      </w:r>
    </w:p>
    <w:p>
      <w:pPr>
        <w:spacing w:before="0" w:after="40" w:line="247" w:lineRule="auto"/>
        <w:ind w:firstLine="202"/>
        <w:jc w:val="both"/>
      </w:pPr>
      <w:r>
        <w:rPr>
          <w:rFonts w:ascii="Times New Roman" w:hAnsi="Times New Roman"/>
          <w:sz w:val="20"/>
        </w:rPr>
        <w:t>The database contains 596 verified crime incidents. Fig. 7(a) depicts the categorical breakdown: general offenses comprise 277 records (46.5%), followed by murder and homicide (49), contraband and smuggling (46), a distinct murder tag (37), and cyber fraud (28). Fig. 7(b) displays the risk split: 25.2% High risk, 23.2% Medium risk, and 51.7% Low risk.</w:t>
      </w:r>
    </w:p>
    <w:p>
      <w:pPr>
        <w:keepNext/>
        <w:spacing w:before="80" w:after="40"/>
        <w:jc w:val="center"/>
      </w:pPr>
      <w:r>
        <w:drawing>
          <wp:inline xmlns:a="http://schemas.openxmlformats.org/drawingml/2006/main" xmlns:pic="http://schemas.openxmlformats.org/drawingml/2006/picture">
            <wp:extent cx="3063240" cy="1508057"/>
            <wp:docPr id="7" name="Picture 7"/>
            <wp:cNvGraphicFramePr>
              <a:graphicFrameLocks noChangeAspect="1"/>
            </wp:cNvGraphicFramePr>
            <a:graphic>
              <a:graphicData uri="http://schemas.openxmlformats.org/drawingml/2006/picture">
                <pic:pic>
                  <pic:nvPicPr>
                    <pic:cNvPr id="0" name="fig7_dataset_charts.png"/>
                    <pic:cNvPicPr/>
                  </pic:nvPicPr>
                  <pic:blipFill>
                    <a:blip r:embed="rId15"/>
                    <a:stretch>
                      <a:fillRect/>
                    </a:stretch>
                  </pic:blipFill>
                  <pic:spPr>
                    <a:xfrm>
                      <a:off x="0" y="0"/>
                      <a:ext cx="3063240" cy="1508057"/>
                    </a:xfrm>
                    <a:prstGeom prst="rect"/>
                  </pic:spPr>
                </pic:pic>
              </a:graphicData>
            </a:graphic>
          </wp:inline>
        </w:drawing>
      </w:r>
    </w:p>
    <w:p>
      <w:pPr>
        <w:spacing w:before="0" w:after="100" w:line="240" w:lineRule="auto"/>
        <w:jc w:val="left"/>
      </w:pPr>
      <w:r>
        <w:rPr>
          <w:rFonts w:ascii="Times New Roman" w:hAnsi="Times New Roman"/>
          <w:b w:val="0"/>
          <w:sz w:val="16"/>
        </w:rPr>
        <w:t xml:space="preserve">Fig. 7. </w:t>
      </w:r>
      <w:r>
        <w:rPr>
          <w:rFonts w:ascii="Times New Roman" w:hAnsi="Times New Roman"/>
          <w:sz w:val="16"/>
        </w:rPr>
        <w:t>Current database summary: (a) crime-type labels; (b) risk-level split.</w:t>
      </w:r>
    </w:p>
    <w:p>
      <w:pPr>
        <w:spacing w:before="0" w:after="40" w:line="247" w:lineRule="auto"/>
        <w:ind w:firstLine="202"/>
        <w:jc w:val="both"/>
      </w:pPr>
      <w:r>
        <w:rPr>
          <w:rFonts w:ascii="Times New Roman" w:hAnsi="Times New Roman"/>
          <w:sz w:val="20"/>
        </w:rPr>
        <w:t>Four critical observations follow from these empirical figures. First, the dominance of general offenses (46.5%) highlights the necessity of finer taxonomies for granular recurrence modeling. Second, merging overlapping murder labels consolidates 86 severe offenses under a single tag. Third, geocoding operates at locality scale: 469 out of 596 records (78.69%) share the central coordinate pair (12.9165, 79.1325) representing generic 'Vellore' or 'Vellore District' references in news reporting, yielding only 25 unique coordinate pairs across the entire database (and 16 within Vellore district). This creates a sharp spatial cliff: a query within 1000 m of this centroid aggregates 477 incidents (raw score &gt; 1900), saturating the zone score to 100.0 (Red), whereas moving just 100 m further (1100 m from the centroid) drops the incident count to 8 and the score to 10.5 (Green). The model in its current form functions as a categorical proximity detector to known geocoded locality centroids, rather than a continuous micro-place risk field. Fourth, the database includes 44 records from neighboring or external districts (Chennai 16, Ranipet 13, Tiruvannamalai 5, etc.) that should be filtered when conducting pure municipal Vellore analysis.</w:t>
      </w:r>
    </w:p>
    <w:p>
      <w:pPr>
        <w:keepNext/>
        <w:spacing w:before="160" w:after="60"/>
        <w:jc w:val="center"/>
      </w:pPr>
      <w:r>
        <w:rPr>
          <w:rFonts w:ascii="Times New Roman" w:hAnsi="Times New Roman"/>
          <w:b w:val="0"/>
          <w:sz w:val="20"/>
        </w:rPr>
        <w:t>VI. PROPOSED EVALUATION PROTOCOL</w:t>
      </w:r>
    </w:p>
    <w:p>
      <w:pPr>
        <w:spacing w:before="0" w:after="40" w:line="247" w:lineRule="auto"/>
        <w:ind w:firstLine="202"/>
        <w:jc w:val="both"/>
      </w:pPr>
      <w:r>
        <w:rPr>
          <w:rFonts w:ascii="Times New Roman" w:hAnsi="Times New Roman"/>
          <w:sz w:val="20"/>
        </w:rPr>
        <w:t>To ensure reproducible benchmarking, evaluation metrics and thresholds are pre-defined (Table VII). Predictive evaluations use rolling temporal splits: records before cutoff date t0 form the training surface, and incidents in the subsequent three months serve as test sets. On a 500 m grid, hit rate measures the fraction of test incidents falling within red cells, compared via the Predictive Accuracy Index [5]:</w:t>
      </w:r>
    </w:p>
    <w:p>
      <w:pPr>
        <w:spacing w:before="40" w:after="40"/>
        <w:jc w:val="both"/>
      </w:pPr>
      <w:r>
        <w:rPr>
          <w:rFonts w:ascii="Times New Roman" w:hAnsi="Times New Roman"/>
          <w:i/>
          <w:sz w:val="18"/>
        </w:rPr>
        <w:t xml:space="preserve">   PAI = (n / N) / (a / A)</w:t>
      </w:r>
      <w:r>
        <w:rPr>
          <w:rFonts w:ascii="Times New Roman" w:hAnsi="Times New Roman"/>
          <w:i w:val="0"/>
          <w:sz w:val="18"/>
        </w:rPr>
        <w:tab/>
        <w:t>(8)</w:t>
      </w:r>
    </w:p>
    <w:p>
      <w:pPr>
        <w:spacing w:before="0" w:after="40" w:line="247" w:lineRule="auto"/>
        <w:ind w:firstLine="202"/>
        <w:jc w:val="both"/>
      </w:pPr>
      <w:r>
        <w:rPr>
          <w:rFonts w:ascii="Times New Roman" w:hAnsi="Times New Roman"/>
          <w:sz w:val="20"/>
        </w:rPr>
        <w:t>where n of N test crimes fall in red cells covering area a out of total area A. Thresholds are calibrated on initial splits and reported where red cells cover at most 10% of the urban terrain.</w:t>
      </w:r>
    </w:p>
    <w:p>
      <w:pPr>
        <w:keepNext/>
        <w:spacing w:before="120" w:after="20"/>
        <w:jc w:val="center"/>
      </w:pPr>
      <w:r>
        <w:rPr>
          <w:rFonts w:ascii="Times New Roman" w:hAnsi="Times New Roman"/>
          <w:sz w:val="16"/>
        </w:rPr>
        <w:t>TABLE VII</w:t>
      </w:r>
    </w:p>
    <w:p>
      <w:pPr>
        <w:keepNext/>
        <w:spacing w:before="0" w:after="60"/>
        <w:jc w:val="center"/>
      </w:pPr>
      <w:r>
        <w:rPr>
          <w:rFonts w:ascii="Times New Roman" w:hAnsi="Times New Roman"/>
          <w:sz w:val="15"/>
        </w:rPr>
        <w:t>STANDARDIZED EXPERIMENTAL EVALUATION PROTOCOL</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Module</w:t>
            </w:r>
          </w:p>
        </w:tc>
        <w:tc>
          <w:tcPr>
            <w:tcW w:type="dxa" w:w="3480"/>
            <w:tcMar>
              <w:top w:w="30" w:type="dxa"/>
              <w:bottom w:w="30" w:type="dxa"/>
              <w:left w:w="50" w:type="dxa"/>
              <w:right w:w="50" w:type="dxa"/>
            </w:tcMar>
          </w:tcPr>
          <w:p>
            <w:r>
              <w:rPr>
                <w:rFonts w:ascii="Times New Roman" w:hAnsi="Times New Roman"/>
                <w:b/>
                <w:sz w:val="15"/>
              </w:rPr>
              <w:t>Evaluation Metric</w:t>
            </w:r>
          </w:p>
        </w:tc>
        <w:tc>
          <w:tcPr>
            <w:tcW w:type="dxa" w:w="3480"/>
            <w:tcMar>
              <w:top w:w="30" w:type="dxa"/>
              <w:bottom w:w="30" w:type="dxa"/>
              <w:left w:w="50" w:type="dxa"/>
              <w:right w:w="50" w:type="dxa"/>
            </w:tcMar>
          </w:tcPr>
          <w:p>
            <w:r>
              <w:rPr>
                <w:rFonts w:ascii="Times New Roman" w:hAnsi="Times New Roman"/>
                <w:b/>
                <w:sz w:val="15"/>
              </w:rPr>
              <w:t>Protocol Details</w:t>
            </w:r>
          </w:p>
        </w:tc>
      </w:tr>
      <w:tr>
        <w:tc>
          <w:tcPr>
            <w:tcW w:type="dxa" w:w="3480"/>
            <w:tcMar>
              <w:top w:w="25" w:type="dxa"/>
              <w:bottom w:w="25" w:type="dxa"/>
              <w:left w:w="45" w:type="dxa"/>
              <w:right w:w="45" w:type="dxa"/>
            </w:tcMar>
          </w:tcPr>
          <w:p>
            <w:r>
              <w:rPr>
                <w:rFonts w:ascii="Times New Roman" w:hAnsi="Times New Roman"/>
                <w:sz w:val="14"/>
              </w:rPr>
              <w:t>Zone model</w:t>
            </w:r>
          </w:p>
        </w:tc>
        <w:tc>
          <w:tcPr>
            <w:tcW w:type="dxa" w:w="3480"/>
            <w:tcMar>
              <w:top w:w="25" w:type="dxa"/>
              <w:bottom w:w="25" w:type="dxa"/>
              <w:left w:w="45" w:type="dxa"/>
              <w:right w:w="45" w:type="dxa"/>
            </w:tcMar>
          </w:tcPr>
          <w:p>
            <w:r>
              <w:rPr>
                <w:rFonts w:ascii="Times New Roman" w:hAnsi="Times New Roman"/>
                <w:sz w:val="14"/>
              </w:rPr>
              <w:t>Hit rate, PAI at red area ≤10%; Cohen's kappa</w:t>
            </w:r>
          </w:p>
        </w:tc>
        <w:tc>
          <w:tcPr>
            <w:tcW w:type="dxa" w:w="3480"/>
            <w:tcMar>
              <w:top w:w="25" w:type="dxa"/>
              <w:bottom w:w="25" w:type="dxa"/>
              <w:left w:w="45" w:type="dxa"/>
              <w:right w:w="45" w:type="dxa"/>
            </w:tcMar>
          </w:tcPr>
          <w:p>
            <w:r>
              <w:rPr>
                <w:rFonts w:ascii="Times New Roman" w:hAnsi="Times New Roman"/>
                <w:sz w:val="14"/>
              </w:rPr>
              <w:t>Rolling temporal split; two local raters on sampled places</w:t>
            </w:r>
          </w:p>
        </w:tc>
      </w:tr>
      <w:tr>
        <w:tc>
          <w:tcPr>
            <w:tcW w:type="dxa" w:w="3480"/>
            <w:tcMar>
              <w:top w:w="25" w:type="dxa"/>
              <w:bottom w:w="25" w:type="dxa"/>
              <w:left w:w="45" w:type="dxa"/>
              <w:right w:w="45" w:type="dxa"/>
            </w:tcMar>
          </w:tcPr>
          <w:p>
            <w:r>
              <w:rPr>
                <w:rFonts w:ascii="Times New Roman" w:hAnsi="Times New Roman"/>
                <w:sz w:val="14"/>
              </w:rPr>
              <w:t>Hotspots</w:t>
            </w:r>
          </w:p>
        </w:tc>
        <w:tc>
          <w:tcPr>
            <w:tcW w:type="dxa" w:w="3480"/>
            <w:tcMar>
              <w:top w:w="25" w:type="dxa"/>
              <w:bottom w:w="25" w:type="dxa"/>
              <w:left w:w="45" w:type="dxa"/>
              <w:right w:w="45" w:type="dxa"/>
            </w:tcMar>
          </w:tcPr>
          <w:p>
            <w:r>
              <w:rPr>
                <w:rFonts w:ascii="Times New Roman" w:hAnsi="Times New Roman"/>
                <w:sz w:val="14"/>
              </w:rPr>
              <w:t>Cluster count and stability versus (ε, m)</w:t>
            </w:r>
          </w:p>
        </w:tc>
        <w:tc>
          <w:tcPr>
            <w:tcW w:type="dxa" w:w="3480"/>
            <w:tcMar>
              <w:top w:w="25" w:type="dxa"/>
              <w:bottom w:w="25" w:type="dxa"/>
              <w:left w:w="45" w:type="dxa"/>
              <w:right w:w="45" w:type="dxa"/>
            </w:tcMar>
          </w:tcPr>
          <w:p>
            <w:r>
              <w:rPr>
                <w:rFonts w:ascii="Times New Roman" w:hAnsi="Times New Roman"/>
                <w:sz w:val="14"/>
              </w:rPr>
              <w:t>Parameter sweep over ε and m grid</w:t>
            </w:r>
          </w:p>
        </w:tc>
      </w:tr>
      <w:tr>
        <w:tc>
          <w:tcPr>
            <w:tcW w:type="dxa" w:w="3480"/>
            <w:tcMar>
              <w:top w:w="25" w:type="dxa"/>
              <w:bottom w:w="25" w:type="dxa"/>
              <w:left w:w="45" w:type="dxa"/>
              <w:right w:w="45" w:type="dxa"/>
            </w:tcMar>
          </w:tcPr>
          <w:p>
            <w:r>
              <w:rPr>
                <w:rFonts w:ascii="Times New Roman" w:hAnsi="Times New Roman"/>
                <w:sz w:val="14"/>
              </w:rPr>
              <w:t>Recurrence</w:t>
            </w:r>
          </w:p>
        </w:tc>
        <w:tc>
          <w:tcPr>
            <w:tcW w:type="dxa" w:w="3480"/>
            <w:tcMar>
              <w:top w:w="25" w:type="dxa"/>
              <w:bottom w:w="25" w:type="dxa"/>
              <w:left w:w="45" w:type="dxa"/>
              <w:right w:w="45" w:type="dxa"/>
            </w:tcMar>
          </w:tcPr>
          <w:p>
            <w:r>
              <w:rPr>
                <w:rFonts w:ascii="Times New Roman" w:hAnsi="Times New Roman"/>
                <w:sz w:val="14"/>
              </w:rPr>
              <w:t>Near repeat ratio; permutation p (999 runs); lift</w:t>
            </w:r>
          </w:p>
        </w:tc>
        <w:tc>
          <w:tcPr>
            <w:tcW w:type="dxa" w:w="3480"/>
            <w:tcMar>
              <w:top w:w="25" w:type="dxa"/>
              <w:bottom w:w="25" w:type="dxa"/>
              <w:left w:w="45" w:type="dxa"/>
              <w:right w:w="45" w:type="dxa"/>
            </w:tcMar>
          </w:tcPr>
          <w:p>
            <w:r>
              <w:rPr>
                <w:rFonts w:ascii="Times New Roman" w:hAnsi="Times New Roman"/>
                <w:sz w:val="14"/>
              </w:rPr>
              <w:t>Candidate space-time windows on deduplicated data</w:t>
            </w:r>
          </w:p>
        </w:tc>
      </w:tr>
      <w:tr>
        <w:tc>
          <w:tcPr>
            <w:tcW w:type="dxa" w:w="3480"/>
            <w:tcMar>
              <w:top w:w="25" w:type="dxa"/>
              <w:bottom w:w="25" w:type="dxa"/>
              <w:left w:w="45" w:type="dxa"/>
              <w:right w:w="45" w:type="dxa"/>
            </w:tcMar>
          </w:tcPr>
          <w:p>
            <w:r>
              <w:rPr>
                <w:rFonts w:ascii="Times New Roman" w:hAnsi="Times New Roman"/>
                <w:sz w:val="14"/>
              </w:rPr>
              <w:t>Haven finder</w:t>
            </w:r>
          </w:p>
        </w:tc>
        <w:tc>
          <w:tcPr>
            <w:tcW w:type="dxa" w:w="3480"/>
            <w:tcMar>
              <w:top w:w="25" w:type="dxa"/>
              <w:bottom w:w="25" w:type="dxa"/>
              <w:left w:w="45" w:type="dxa"/>
              <w:right w:w="45" w:type="dxa"/>
            </w:tcMar>
          </w:tcPr>
          <w:p>
            <w:r>
              <w:rPr>
                <w:rFonts w:ascii="Times New Roman" w:hAnsi="Times New Roman"/>
                <w:sz w:val="14"/>
              </w:rPr>
              <w:t>Valid@5 accuracy; median walk to first open haven</w:t>
            </w:r>
          </w:p>
        </w:tc>
        <w:tc>
          <w:tcPr>
            <w:tcW w:type="dxa" w:w="3480"/>
            <w:tcMar>
              <w:top w:w="25" w:type="dxa"/>
              <w:bottom w:w="25" w:type="dxa"/>
              <w:left w:w="45" w:type="dxa"/>
              <w:right w:w="45" w:type="dxa"/>
            </w:tcMar>
          </w:tcPr>
          <w:p>
            <w:r>
              <w:rPr>
                <w:rFonts w:ascii="Times New Roman" w:hAnsi="Times New Roman"/>
                <w:sz w:val="14"/>
              </w:rPr>
              <w:t>Field verification audit across sampled query points</w:t>
            </w:r>
          </w:p>
        </w:tc>
      </w:tr>
      <w:tr>
        <w:tc>
          <w:tcPr>
            <w:tcW w:type="dxa" w:w="3480"/>
            <w:tcMar>
              <w:top w:w="25" w:type="dxa"/>
              <w:bottom w:w="25" w:type="dxa"/>
              <w:left w:w="45" w:type="dxa"/>
              <w:right w:w="45" w:type="dxa"/>
            </w:tcMar>
          </w:tcPr>
          <w:p>
            <w:r>
              <w:rPr>
                <w:rFonts w:ascii="Times New Roman" w:hAnsi="Times New Roman"/>
                <w:sz w:val="14"/>
              </w:rPr>
              <w:t>SOS escalation</w:t>
            </w:r>
          </w:p>
        </w:tc>
        <w:tc>
          <w:tcPr>
            <w:tcW w:type="dxa" w:w="3480"/>
            <w:tcMar>
              <w:top w:w="25" w:type="dxa"/>
              <w:bottom w:w="25" w:type="dxa"/>
              <w:left w:w="45" w:type="dxa"/>
              <w:right w:w="45" w:type="dxa"/>
            </w:tcMar>
          </w:tcPr>
          <w:p>
            <w:r>
              <w:rPr>
                <w:rFonts w:ascii="Times New Roman" w:hAnsi="Times New Roman"/>
                <w:sz w:val="14"/>
              </w:rPr>
              <w:t>Trigger to dispatch latency (p50, p95); false alarms</w:t>
            </w:r>
          </w:p>
        </w:tc>
        <w:tc>
          <w:tcPr>
            <w:tcW w:type="dxa" w:w="3480"/>
            <w:tcMar>
              <w:top w:w="25" w:type="dxa"/>
              <w:bottom w:w="25" w:type="dxa"/>
              <w:left w:w="45" w:type="dxa"/>
              <w:right w:w="45" w:type="dxa"/>
            </w:tcMar>
          </w:tcPr>
          <w:p>
            <w:r>
              <w:rPr>
                <w:rFonts w:ascii="Times New Roman" w:hAnsi="Times New Roman"/>
                <w:sz w:val="14"/>
              </w:rPr>
              <w:t>Scripted GPS trajectory playback on sandbox database</w:t>
            </w:r>
          </w:p>
        </w:tc>
      </w:tr>
      <w:tr>
        <w:tc>
          <w:tcPr>
            <w:tcW w:type="dxa" w:w="3480"/>
            <w:tcMar>
              <w:top w:w="25" w:type="dxa"/>
              <w:bottom w:w="25" w:type="dxa"/>
              <w:left w:w="45" w:type="dxa"/>
              <w:right w:w="45" w:type="dxa"/>
            </w:tcMar>
          </w:tcPr>
          <w:p>
            <w:r>
              <w:rPr>
                <w:rFonts w:ascii="Times New Roman" w:hAnsi="Times New Roman"/>
                <w:sz w:val="14"/>
              </w:rPr>
              <w:t>Access control</w:t>
            </w:r>
          </w:p>
        </w:tc>
        <w:tc>
          <w:tcPr>
            <w:tcW w:type="dxa" w:w="3480"/>
            <w:tcMar>
              <w:top w:w="25" w:type="dxa"/>
              <w:bottom w:w="25" w:type="dxa"/>
              <w:left w:w="45" w:type="dxa"/>
              <w:right w:w="45" w:type="dxa"/>
            </w:tcMar>
          </w:tcPr>
          <w:p>
            <w:r>
              <w:rPr>
                <w:rFonts w:ascii="Times New Roman" w:hAnsi="Times New Roman"/>
                <w:sz w:val="14"/>
              </w:rPr>
              <w:t>Cross-account reads blocked; 403 on admin routes</w:t>
            </w:r>
          </w:p>
        </w:tc>
        <w:tc>
          <w:tcPr>
            <w:tcW w:type="dxa" w:w="3480"/>
            <w:tcMar>
              <w:top w:w="25" w:type="dxa"/>
              <w:bottom w:w="25" w:type="dxa"/>
              <w:left w:w="45" w:type="dxa"/>
              <w:right w:w="45" w:type="dxa"/>
            </w:tcMar>
          </w:tcPr>
          <w:p>
            <w:r>
              <w:rPr>
                <w:rFonts w:ascii="Times New Roman" w:hAnsi="Times New Roman"/>
                <w:sz w:val="14"/>
              </w:rPr>
              <w:t>Two test resident accounts plus one administrator</w:t>
            </w:r>
          </w:p>
        </w:tc>
      </w:tr>
      <w:tr>
        <w:tc>
          <w:tcPr>
            <w:tcW w:type="dxa" w:w="3480"/>
            <w:tcMar>
              <w:top w:w="25" w:type="dxa"/>
              <w:bottom w:w="25" w:type="dxa"/>
              <w:left w:w="45" w:type="dxa"/>
              <w:right w:w="45" w:type="dxa"/>
            </w:tcMar>
          </w:tcPr>
          <w:p>
            <w:r>
              <w:rPr>
                <w:rFonts w:ascii="Times New Roman" w:hAnsi="Times New Roman"/>
                <w:sz w:val="14"/>
              </w:rPr>
              <w:t>Usability</w:t>
            </w:r>
          </w:p>
        </w:tc>
        <w:tc>
          <w:tcPr>
            <w:tcW w:type="dxa" w:w="3480"/>
            <w:tcMar>
              <w:top w:w="25" w:type="dxa"/>
              <w:bottom w:w="25" w:type="dxa"/>
              <w:left w:w="45" w:type="dxa"/>
              <w:right w:w="45" w:type="dxa"/>
            </w:tcMar>
          </w:tcPr>
          <w:p>
            <w:r>
              <w:rPr>
                <w:rFonts w:ascii="Times New Roman" w:hAnsi="Times New Roman"/>
                <w:sz w:val="14"/>
              </w:rPr>
              <w:t>System Usability Scale [43]; task completion rate</w:t>
            </w:r>
          </w:p>
        </w:tc>
        <w:tc>
          <w:tcPr>
            <w:tcW w:type="dxa" w:w="3480"/>
            <w:tcMar>
              <w:top w:w="25" w:type="dxa"/>
              <w:bottom w:w="25" w:type="dxa"/>
              <w:left w:w="45" w:type="dxa"/>
              <w:right w:w="45" w:type="dxa"/>
            </w:tcMar>
          </w:tcPr>
          <w:p>
            <w:r>
              <w:rPr>
                <w:rFonts w:ascii="Times New Roman" w:hAnsi="Times New Roman"/>
                <w:sz w:val="14"/>
              </w:rPr>
              <w:t>15 or more participants performing search and SOS tasks</w:t>
            </w:r>
          </w:p>
        </w:tc>
      </w:tr>
    </w:tbl>
    <w:p>
      <w:pPr>
        <w:spacing w:before="0" w:after="40" w:line="247" w:lineRule="auto"/>
        <w:ind w:firstLine="202"/>
        <w:jc w:val="both"/>
      </w:pPr>
      <w:r>
        <w:rPr>
          <w:rFonts w:ascii="Times New Roman" w:hAnsi="Times New Roman"/>
          <w:sz w:val="20"/>
        </w:rPr>
        <w:t>Reporting these metrics with confidence bounds addresses recognized gaps in spatial criminology literature regarding reproducible operating baselines [18].</w:t>
      </w:r>
    </w:p>
    <w:p>
      <w:pPr>
        <w:keepNext/>
        <w:spacing w:before="160" w:after="60"/>
        <w:jc w:val="center"/>
      </w:pPr>
      <w:r>
        <w:rPr>
          <w:rFonts w:ascii="Times New Roman" w:hAnsi="Times New Roman"/>
          <w:b w:val="0"/>
          <w:sz w:val="20"/>
        </w:rPr>
        <w:t>VII. DISCUSSION</w:t>
      </w:r>
    </w:p>
    <w:p>
      <w:pPr>
        <w:keepNext/>
        <w:spacing w:before="120" w:after="40"/>
        <w:jc w:val="left"/>
      </w:pPr>
      <w:r>
        <w:rPr>
          <w:rFonts w:ascii="Times New Roman" w:hAnsi="Times New Roman"/>
          <w:i/>
          <w:sz w:val="19"/>
        </w:rPr>
        <w:t>A. What Is New</w:t>
      </w:r>
    </w:p>
    <w:p>
      <w:pPr>
        <w:spacing w:before="0" w:after="40" w:line="247" w:lineRule="auto"/>
        <w:ind w:firstLine="202"/>
        <w:jc w:val="both"/>
      </w:pPr>
      <w:r>
        <w:rPr>
          <w:rFonts w:ascii="Times New Roman" w:hAnsi="Times New Roman"/>
          <w:sz w:val="20"/>
        </w:rPr>
        <w:t>Core elements of spatial crime analysis, near repeat testing, safe routing, and emergency alerting possess established research literatures. CrimeSense organizes these concepts around a single shared evidence base. The current database supports the administrative dashboard. The proposed resident advisory, safe-haven finder, and automated red-zone escalation would use the same incident records if implemented and validated. The haven finder and pre-visit advisory are designed to convert spatial data into immediate pedestrian guidance, while dwell escalation aims to address scenarios where victims are physically incapacitated.</w:t>
      </w:r>
    </w:p>
    <w:p>
      <w:pPr>
        <w:keepNext/>
        <w:spacing w:before="120" w:after="40"/>
        <w:jc w:val="left"/>
      </w:pPr>
      <w:r>
        <w:rPr>
          <w:rFonts w:ascii="Times New Roman" w:hAnsi="Times New Roman"/>
          <w:i/>
          <w:sz w:val="19"/>
        </w:rPr>
        <w:t>B. Ethics and Responsible Use</w:t>
      </w:r>
    </w:p>
    <w:p>
      <w:pPr>
        <w:spacing w:before="0" w:after="40" w:line="247" w:lineRule="auto"/>
        <w:ind w:firstLine="202"/>
        <w:jc w:val="both"/>
      </w:pPr>
      <w:r>
        <w:rPr>
          <w:rFonts w:ascii="Times New Roman" w:hAnsi="Times New Roman"/>
          <w:sz w:val="20"/>
        </w:rPr>
        <w:t>Assigning risk labels to urban sectors risks stigmatizing communities and amplifying data biases [30], [31], [32]. CrimeSense mitigates these harms by framing zones objectively as 'reported incidents', displaying report counts and source links transparently, avoiding pejorative terms like 'unsafe', stating clearly that green zones do not guarantee absolute safety, and excluding automated outputs from punitive policing loops [32]. Confirmation challenges and cooldown timers prevent alert fatigue.</w:t>
      </w:r>
    </w:p>
    <w:p>
      <w:pPr>
        <w:keepNext/>
        <w:spacing w:before="120" w:after="40"/>
        <w:jc w:val="left"/>
      </w:pPr>
      <w:r>
        <w:rPr>
          <w:rFonts w:ascii="Times New Roman" w:hAnsi="Times New Roman"/>
          <w:i/>
          <w:sz w:val="19"/>
        </w:rPr>
        <w:t>C. Limitations and Threats to Validity</w:t>
      </w:r>
    </w:p>
    <w:p>
      <w:pPr>
        <w:spacing w:before="0" w:after="40" w:line="247" w:lineRule="auto"/>
        <w:ind w:firstLine="202"/>
        <w:jc w:val="both"/>
      </w:pPr>
      <w:r>
        <w:rPr>
          <w:rFonts w:ascii="Times New Roman" w:hAnsi="Times New Roman"/>
          <w:sz w:val="20"/>
        </w:rPr>
        <w:t>News sourced datasets reflect journalistic coverage choices, which over represent unusual or severe offenses relative to minor infractions [11]. Locality centroid coordinates limit spatial precision [24], [25]. The severity score table is expert assigned rather than calibrated on longitudinal outcome metrics. OpenStreetMap haven records inherit volunteer mapping variations, and automated browser push notifications depend upon active browser lifecycles and mobile connectivity.</w:t>
      </w:r>
    </w:p>
    <w:p>
      <w:pPr>
        <w:keepNext/>
        <w:spacing w:before="160" w:after="60"/>
        <w:jc w:val="center"/>
      </w:pPr>
      <w:r>
        <w:rPr>
          <w:rFonts w:ascii="Times New Roman" w:hAnsi="Times New Roman"/>
          <w:b w:val="0"/>
          <w:sz w:val="20"/>
        </w:rPr>
        <w:t>VIII. CONCLUSION AND FUTURE WORK</w:t>
      </w:r>
    </w:p>
    <w:p>
      <w:pPr>
        <w:spacing w:before="0" w:after="40" w:line="247" w:lineRule="auto"/>
        <w:ind w:firstLine="202"/>
        <w:jc w:val="both"/>
      </w:pPr>
      <w:r>
        <w:rPr>
          <w:rFonts w:ascii="Times New Roman" w:hAnsi="Times New Roman"/>
          <w:sz w:val="20"/>
        </w:rPr>
        <w:t>This study presents CrimeSense, a prototype for visualizing news-reported crime incidents in Vellore. The database structure and selected application functions were verified using 596 records. The resident safety modules and pattern-recurrence methods remain to be evaluated as described in the implementation-status and evaluation sections. Database integrity, authentication, and persistence have been verified, while role enforcement remains partially active. Future work will execute rolling temporal evaluations, refine geocoding resolution, conduct physical safe haven audits, and evaluate user cognitive load through structured field usability trials.</w:t>
      </w:r>
    </w:p>
    <w:p>
      <w:pPr>
        <w:keepNext/>
        <w:spacing w:before="160" w:after="60"/>
        <w:jc w:val="center"/>
      </w:pPr>
      <w:r>
        <w:rPr>
          <w:rFonts w:ascii="Times New Roman" w:hAnsi="Times New Roman"/>
          <w:b w:val="0"/>
          <w:sz w:val="20"/>
        </w:rPr>
        <w:t>REFERENCES</w:t>
      </w:r>
    </w:p>
    <w:p>
      <w:pPr>
        <w:spacing w:before="0" w:after="40" w:line="240" w:lineRule="auto"/>
        <w:ind w:left="288" w:hanging="288"/>
        <w:jc w:val="both"/>
      </w:pPr>
      <w:r>
        <w:rPr>
          <w:rFonts w:ascii="Times New Roman" w:hAnsi="Times New Roman"/>
          <w:sz w:val="16"/>
        </w:rPr>
        <w:t>[1] D. Weisburd, "The law of crime concentration and the criminology of place," Criminology, vol. 53, no. 2, pp. 133–157, 2015.</w:t>
      </w:r>
    </w:p>
    <w:p>
      <w:pPr>
        <w:spacing w:before="0" w:after="40" w:line="240" w:lineRule="auto"/>
        <w:ind w:left="288" w:hanging="288"/>
        <w:jc w:val="both"/>
      </w:pPr>
      <w:r>
        <w:rPr>
          <w:rFonts w:ascii="Times New Roman" w:hAnsi="Times New Roman"/>
          <w:sz w:val="16"/>
        </w:rPr>
        <w:t>[2] L. W. Sherman, P. R. Gartin, and M. E. Buerger, "Hot spots of predatory crime: Routine activities and the criminology of place," Criminology, vol. 27, no. 1, pp. 27–56, 1989.</w:t>
      </w:r>
    </w:p>
    <w:p>
      <w:pPr>
        <w:spacing w:before="0" w:after="40" w:line="240" w:lineRule="auto"/>
        <w:ind w:left="288" w:hanging="288"/>
        <w:jc w:val="both"/>
      </w:pPr>
      <w:r>
        <w:rPr>
          <w:rFonts w:ascii="Times New Roman" w:hAnsi="Times New Roman"/>
          <w:sz w:val="16"/>
        </w:rPr>
        <w:t>[3] L. E. Cohen and M. Felson, "Social change and crime rate trends: A routine activity approach," Amer. Sociol. Rev., vol. 44, no. 4, pp. 588–608, 1979.</w:t>
      </w:r>
    </w:p>
    <w:p>
      <w:pPr>
        <w:spacing w:before="0" w:after="40" w:line="240" w:lineRule="auto"/>
        <w:ind w:left="288" w:hanging="288"/>
        <w:jc w:val="both"/>
      </w:pPr>
      <w:r>
        <w:rPr>
          <w:rFonts w:ascii="Times New Roman" w:hAnsi="Times New Roman"/>
          <w:sz w:val="16"/>
        </w:rPr>
        <w:t>[4] P. J. Brantingham and P. L. Brantingham, Patterns in Crime. New York, NY, USA: Macmillan, 1984.</w:t>
      </w:r>
    </w:p>
    <w:p>
      <w:pPr>
        <w:spacing w:before="0" w:after="40" w:line="240" w:lineRule="auto"/>
        <w:ind w:left="288" w:hanging="288"/>
        <w:jc w:val="both"/>
      </w:pPr>
      <w:r>
        <w:rPr>
          <w:rFonts w:ascii="Times New Roman" w:hAnsi="Times New Roman"/>
          <w:sz w:val="16"/>
        </w:rPr>
        <w:t>[5] S. Chainey, L. Tompson, and S. Uhlig, "The utility of hotspot mapping for predicting spatial patterns of crime," Secur. J., vol. 21, no. 1–2, pp. 4–28, 2008.</w:t>
      </w:r>
    </w:p>
    <w:p>
      <w:pPr>
        <w:spacing w:before="0" w:after="40" w:line="240" w:lineRule="auto"/>
        <w:ind w:left="288" w:hanging="288"/>
        <w:jc w:val="both"/>
      </w:pPr>
      <w:r>
        <w:rPr>
          <w:rFonts w:ascii="Times New Roman" w:hAnsi="Times New Roman"/>
          <w:sz w:val="16"/>
        </w:rPr>
        <w:t>[6] A. A. Braga, B. S. Turchan, A. V. Papachristos, and D. M. Hureau, "Hot spots policing of small geographic areas effects on crime," Campbell Syst. Rev., vol. 15, no. 3, Art. no. e1046, 2019.</w:t>
      </w:r>
    </w:p>
    <w:p>
      <w:pPr>
        <w:spacing w:before="0" w:after="40" w:line="240" w:lineRule="auto"/>
        <w:ind w:left="288" w:hanging="288"/>
        <w:jc w:val="both"/>
      </w:pPr>
      <w:r>
        <w:rPr>
          <w:rFonts w:ascii="Times New Roman" w:hAnsi="Times New Roman"/>
          <w:sz w:val="16"/>
        </w:rPr>
        <w:t>[7] National Crime Records Bureau, "Crime in India 2022," Ministry of Home Affairs, Government of India, New Delhi, India, 2023.</w:t>
      </w:r>
    </w:p>
    <w:p>
      <w:pPr>
        <w:spacing w:before="0" w:after="40" w:line="240" w:lineRule="auto"/>
        <w:ind w:left="288" w:hanging="288"/>
        <w:jc w:val="both"/>
      </w:pPr>
      <w:r>
        <w:rPr>
          <w:rFonts w:ascii="Times New Roman" w:hAnsi="Times New Roman"/>
          <w:sz w:val="16"/>
        </w:rPr>
        <w:t>[8] D. Chand, S. Nayak, K. S. Bhat, S. Parikh, Y. Singh, and A. A. Kamath, "A mobile application for women's safety: WoSApp," in Proc. IEEE Region 10 Conf. (TENCON), 2016.</w:t>
      </w:r>
    </w:p>
    <w:p>
      <w:pPr>
        <w:spacing w:before="0" w:after="40" w:line="240" w:lineRule="auto"/>
        <w:ind w:left="288" w:hanging="288"/>
        <w:jc w:val="both"/>
      </w:pPr>
      <w:r>
        <w:rPr>
          <w:rFonts w:ascii="Times New Roman" w:hAnsi="Times New Roman"/>
          <w:sz w:val="16"/>
        </w:rPr>
        <w:t>[9] M. S. Gerber, "Predicting crime using Twitter and kernel density estimation," Decis. Support Syst., vol. 61, pp. 115–125, 2014.</w:t>
      </w:r>
    </w:p>
    <w:p>
      <w:pPr>
        <w:spacing w:before="0" w:after="40" w:line="240" w:lineRule="auto"/>
        <w:ind w:left="288" w:hanging="288"/>
        <w:jc w:val="both"/>
      </w:pPr>
      <w:r>
        <w:rPr>
          <w:rFonts w:ascii="Times New Roman" w:hAnsi="Times New Roman"/>
          <w:sz w:val="16"/>
        </w:rPr>
        <w:t>[10] A. Umair, M. S. Sarfraz, M. Ahmad, U. Habib, M. H. Ullah, and M. Mazzara, "Spatiotemporal analysis of web news archives for crime prediction," Appl. Sci., vol. 10, no. 22, Art. no. 8220, 2020.</w:t>
      </w:r>
    </w:p>
    <w:p>
      <w:pPr>
        <w:spacing w:before="0" w:after="40" w:line="240" w:lineRule="auto"/>
        <w:ind w:left="288" w:hanging="288"/>
        <w:jc w:val="both"/>
      </w:pPr>
      <w:r>
        <w:rPr>
          <w:rFonts w:ascii="Times New Roman" w:hAnsi="Times New Roman"/>
          <w:sz w:val="16"/>
        </w:rPr>
        <w:t>[11] J. Earl, A. Martin, J. D. McCarthy, and S. A. Soule, "The use of newspaper data in the study of collective action," Annu. Rev. Sociol., vol. 30, pp. 65–80, 2004.</w:t>
      </w:r>
    </w:p>
    <w:p>
      <w:pPr>
        <w:spacing w:before="0" w:after="40" w:line="240" w:lineRule="auto"/>
        <w:ind w:left="288" w:hanging="288"/>
        <w:jc w:val="both"/>
      </w:pPr>
      <w:r>
        <w:rPr>
          <w:rFonts w:ascii="Times New Roman" w:hAnsi="Times New Roman"/>
          <w:sz w:val="16"/>
        </w:rPr>
        <w:t>[12] B. W. Silverman, Density Estimation for Statistics and Data Analysis. London, U.K.: Chapman &amp; Hall, 1986.</w:t>
      </w:r>
    </w:p>
    <w:p>
      <w:pPr>
        <w:spacing w:before="0" w:after="40" w:line="240" w:lineRule="auto"/>
        <w:ind w:left="288" w:hanging="288"/>
        <w:jc w:val="both"/>
      </w:pPr>
      <w:r>
        <w:rPr>
          <w:rFonts w:ascii="Times New Roman" w:hAnsi="Times New Roman"/>
          <w:sz w:val="16"/>
        </w:rPr>
        <w:t>[13] Y. Hu, F. Wang, C. Guin, and H. Zhu, "A spatio-temporal kernel density estimation framework for predictive crime hotspot mapping and evaluation," Appl. Geogr., vol. 99, pp. 89–97, 2018.</w:t>
      </w:r>
    </w:p>
    <w:p>
      <w:pPr>
        <w:spacing w:before="0" w:after="40" w:line="240" w:lineRule="auto"/>
        <w:ind w:left="288" w:hanging="288"/>
        <w:jc w:val="both"/>
      </w:pPr>
      <w:r>
        <w:rPr>
          <w:rFonts w:ascii="Times New Roman" w:hAnsi="Times New Roman"/>
          <w:sz w:val="16"/>
        </w:rPr>
        <w:t>[14] M. Ester, H.-P. Kriegel, J. Sander, and X. Xu, "A density-based algorithm for discovering clusters in large spatial databases with noise," in Proc. 2nd Int. Conf. Knowl. Discovery Data Mining (KDD), 1996, pp. 226–231.</w:t>
      </w:r>
    </w:p>
    <w:p>
      <w:pPr>
        <w:spacing w:before="0" w:after="40" w:line="240" w:lineRule="auto"/>
        <w:ind w:left="288" w:hanging="288"/>
        <w:jc w:val="both"/>
      </w:pPr>
      <w:r>
        <w:rPr>
          <w:rFonts w:ascii="Times New Roman" w:hAnsi="Times New Roman"/>
          <w:sz w:val="16"/>
        </w:rPr>
        <w:t>[15] G. O. Mohler, M. B. Short, P. J. Brantingham, F. P. Schoenberg, and G. E. Tita, "Self-exciting point process modeling of crime," J. Amer. Statist. Assoc., vol. 106, no. 493, pp. 100–108, 2011.</w:t>
      </w:r>
    </w:p>
    <w:p>
      <w:pPr>
        <w:spacing w:before="0" w:after="40" w:line="240" w:lineRule="auto"/>
        <w:ind w:left="288" w:hanging="288"/>
        <w:jc w:val="both"/>
      </w:pPr>
      <w:r>
        <w:rPr>
          <w:rFonts w:ascii="Times New Roman" w:hAnsi="Times New Roman"/>
          <w:sz w:val="16"/>
        </w:rPr>
        <w:t>[16] J. M. Caplan, L. W. Kennedy, and J. Miller, "Risk terrain modeling: Brokering criminological theory and GIS methods for crime forecasting," Justice Quart., vol. 28, no. 2, pp. 360–381, 2011.</w:t>
      </w:r>
    </w:p>
    <w:p>
      <w:pPr>
        <w:spacing w:before="0" w:after="40" w:line="240" w:lineRule="auto"/>
        <w:ind w:left="288" w:hanging="288"/>
        <w:jc w:val="both"/>
      </w:pPr>
      <w:r>
        <w:rPr>
          <w:rFonts w:ascii="Times New Roman" w:hAnsi="Times New Roman"/>
          <w:sz w:val="16"/>
        </w:rPr>
        <w:t>[17] Z. Marchment and P. Gill, "Systematic review and meta-analysis of risk terrain modelling (RTM) as a spatial forecasting method," Crime Sci., vol. 10, 2021, doi: 10.1186/s40163-021-00149-6.</w:t>
      </w:r>
    </w:p>
    <w:p>
      <w:pPr>
        <w:spacing w:before="0" w:after="40" w:line="240" w:lineRule="auto"/>
        <w:ind w:left="288" w:hanging="288"/>
        <w:jc w:val="both"/>
      </w:pPr>
      <w:r>
        <w:rPr>
          <w:rFonts w:ascii="Times New Roman" w:hAnsi="Times New Roman"/>
          <w:sz w:val="16"/>
        </w:rPr>
        <w:t>[18] O. Kounadi, A. Ristea, A. Araujo, and M. Leitner, "A systematic review on spatial crime forecasting," Crime Sci., vol. 9, 2020, doi: 10.1186/s40163-020-00116-7.</w:t>
      </w:r>
    </w:p>
    <w:p>
      <w:pPr>
        <w:spacing w:before="0" w:after="40" w:line="240" w:lineRule="auto"/>
        <w:ind w:left="288" w:hanging="288"/>
        <w:jc w:val="both"/>
      </w:pPr>
      <w:r>
        <w:rPr>
          <w:rFonts w:ascii="Times New Roman" w:hAnsi="Times New Roman"/>
          <w:sz w:val="16"/>
        </w:rPr>
        <w:t>[19] V. Mandalapu, L. Elluri, P. Vyas, and N. Roy, "Crime prediction using machine learning and deep learning: A systematic review and future directions," IEEE Access, vol. 11, pp. 60153–60170, 2023.</w:t>
      </w:r>
    </w:p>
    <w:p>
      <w:pPr>
        <w:spacing w:before="0" w:after="40" w:line="240" w:lineRule="auto"/>
        <w:ind w:left="288" w:hanging="288"/>
        <w:jc w:val="both"/>
      </w:pPr>
      <w:r>
        <w:rPr>
          <w:rFonts w:ascii="Times New Roman" w:hAnsi="Times New Roman"/>
          <w:sz w:val="16"/>
        </w:rPr>
        <w:t>[20] X. Zhang, L. Liu, M. Lan, G. Song, L. Xiao, and J. Chen, "Comparison of machine learning algorithms for predicting crime hotspots," IEEE Access, vol. 8, 2020.</w:t>
      </w:r>
    </w:p>
    <w:p>
      <w:pPr>
        <w:spacing w:before="0" w:after="40" w:line="240" w:lineRule="auto"/>
        <w:ind w:left="288" w:hanging="288"/>
        <w:jc w:val="both"/>
      </w:pPr>
      <w:r>
        <w:rPr>
          <w:rFonts w:ascii="Times New Roman" w:hAnsi="Times New Roman"/>
          <w:sz w:val="16"/>
        </w:rPr>
        <w:t>[21] E. G. Knox, "The detection of space-time interactions," J. Roy. Statist. Soc. C (Appl. Statist.), vol. 13, no. 1, pp. 25–29, 1964.</w:t>
      </w:r>
    </w:p>
    <w:p>
      <w:pPr>
        <w:spacing w:before="0" w:after="40" w:line="240" w:lineRule="auto"/>
        <w:ind w:left="288" w:hanging="288"/>
        <w:jc w:val="both"/>
      </w:pPr>
      <w:r>
        <w:rPr>
          <w:rFonts w:ascii="Times New Roman" w:hAnsi="Times New Roman"/>
          <w:sz w:val="16"/>
        </w:rPr>
        <w:t>[22] M. Townsley, R. Homel, and J. Chaseling, "Infectious burglaries: A test of the near repeat hypothesis," Brit. J. Criminol., vol. 43, no. 3, pp. 615–633, 2003.</w:t>
      </w:r>
    </w:p>
    <w:p>
      <w:pPr>
        <w:spacing w:before="0" w:after="40" w:line="240" w:lineRule="auto"/>
        <w:ind w:left="288" w:hanging="288"/>
        <w:jc w:val="both"/>
      </w:pPr>
      <w:r>
        <w:rPr>
          <w:rFonts w:ascii="Times New Roman" w:hAnsi="Times New Roman"/>
          <w:sz w:val="16"/>
        </w:rPr>
        <w:t>[23] S. D. Johnson et al., "Space–time patterns of risk: A cross national assessment of residential burglary victimization," J. Quant. Criminol., vol. 23, no. 3, pp. 201–219, 2007.</w:t>
      </w:r>
    </w:p>
    <w:p>
      <w:pPr>
        <w:spacing w:before="0" w:after="40" w:line="240" w:lineRule="auto"/>
        <w:ind w:left="288" w:hanging="288"/>
        <w:jc w:val="both"/>
      </w:pPr>
      <w:r>
        <w:rPr>
          <w:rFonts w:ascii="Times New Roman" w:hAnsi="Times New Roman"/>
          <w:sz w:val="16"/>
        </w:rPr>
        <w:t>[24] M. Gritta, M. T. Pilehvar, and N. Collier, "A pragmatic guide to geoparsing evaluation: Toponyms, named entity recognition and pragmatics," Lang. Resour. Eval., 2020.</w:t>
      </w:r>
    </w:p>
    <w:p>
      <w:pPr>
        <w:spacing w:before="0" w:after="40" w:line="240" w:lineRule="auto"/>
        <w:ind w:left="288" w:hanging="288"/>
        <w:jc w:val="both"/>
      </w:pPr>
      <w:r>
        <w:rPr>
          <w:rFonts w:ascii="Times New Roman" w:hAnsi="Times New Roman"/>
          <w:sz w:val="16"/>
        </w:rPr>
        <w:t>[25] P. A. Zandbergen, "Geocoding quality and implications for spatial analysis," Geogr. Compass, vol. 3, no. 2, pp. 647–680, 2009.</w:t>
      </w:r>
    </w:p>
    <w:p>
      <w:pPr>
        <w:spacing w:before="0" w:after="40" w:line="240" w:lineRule="auto"/>
        <w:ind w:left="288" w:hanging="288"/>
        <w:jc w:val="both"/>
      </w:pPr>
      <w:r>
        <w:rPr>
          <w:rFonts w:ascii="Times New Roman" w:hAnsi="Times New Roman"/>
          <w:sz w:val="16"/>
        </w:rPr>
        <w:t>[26] E. Galbrun, K. Pelechrinis, and E. Terzi, "Safe navigation in urban environments," in Proc. 3rd Int. Workshop Urban Comput. (UrbComp), KDD, New York, NY, USA, 2014.</w:t>
      </w:r>
    </w:p>
    <w:p>
      <w:pPr>
        <w:spacing w:before="0" w:after="40" w:line="240" w:lineRule="auto"/>
        <w:ind w:left="288" w:hanging="288"/>
        <w:jc w:val="both"/>
      </w:pPr>
      <w:r>
        <w:rPr>
          <w:rFonts w:ascii="Times New Roman" w:hAnsi="Times New Roman"/>
          <w:sz w:val="16"/>
        </w:rPr>
        <w:t>[27] J. Jacobs, The Death and Life of Great American Cities. New York, NY, USA: Random House, 1961.</w:t>
      </w:r>
    </w:p>
    <w:p>
      <w:pPr>
        <w:spacing w:before="0" w:after="40" w:line="240" w:lineRule="auto"/>
        <w:ind w:left="288" w:hanging="288"/>
        <w:jc w:val="both"/>
      </w:pPr>
      <w:r>
        <w:rPr>
          <w:rFonts w:ascii="Times New Roman" w:hAnsi="Times New Roman"/>
          <w:sz w:val="16"/>
        </w:rPr>
        <w:t>[28] O. Newman, Defensible Space: Crime Prevention Through Urban Design. New York, NY, USA: Macmillan, 1972.</w:t>
      </w:r>
    </w:p>
    <w:p>
      <w:pPr>
        <w:spacing w:before="0" w:after="40" w:line="240" w:lineRule="auto"/>
        <w:ind w:left="288" w:hanging="288"/>
        <w:jc w:val="both"/>
      </w:pPr>
      <w:r>
        <w:rPr>
          <w:rFonts w:ascii="Times New Roman" w:hAnsi="Times New Roman"/>
          <w:sz w:val="16"/>
        </w:rPr>
        <w:t>[29] M. Haklay and P. Weber, "OpenStreetMap: User-generated street maps," IEEE Pervasive Comput., vol. 7, no. 4, pp. 12–18, Oct.–Dec. 2008.</w:t>
      </w:r>
    </w:p>
    <w:p>
      <w:pPr>
        <w:spacing w:before="0" w:after="40" w:line="240" w:lineRule="auto"/>
        <w:ind w:left="288" w:hanging="288"/>
        <w:jc w:val="both"/>
      </w:pPr>
      <w:r>
        <w:rPr>
          <w:rFonts w:ascii="Times New Roman" w:hAnsi="Times New Roman"/>
          <w:sz w:val="16"/>
        </w:rPr>
        <w:t>[30] K. Lum and W. Isaac, "To predict and serve?," Significance, vol. 13, no. 5, pp. 14–19, 2016.</w:t>
      </w:r>
    </w:p>
    <w:p>
      <w:pPr>
        <w:spacing w:before="0" w:after="40" w:line="240" w:lineRule="auto"/>
        <w:ind w:left="288" w:hanging="288"/>
        <w:jc w:val="both"/>
      </w:pPr>
      <w:r>
        <w:rPr>
          <w:rFonts w:ascii="Times New Roman" w:hAnsi="Times New Roman"/>
          <w:sz w:val="16"/>
        </w:rPr>
        <w:t>[31] R. Richardson, J. M. Schultz, and K. Crawford, "Dirty data, bad predictions: How civil rights violations impact police data, predictive policing systems, and justice," New York Univ. Law Rev. Online, vol. 94, p. 15, 2019.</w:t>
      </w:r>
    </w:p>
    <w:p>
      <w:pPr>
        <w:spacing w:before="0" w:after="40" w:line="240" w:lineRule="auto"/>
        <w:ind w:left="288" w:hanging="288"/>
        <w:jc w:val="both"/>
      </w:pPr>
      <w:r>
        <w:rPr>
          <w:rFonts w:ascii="Times New Roman" w:hAnsi="Times New Roman"/>
          <w:sz w:val="16"/>
        </w:rPr>
        <w:t>[32] D. Ensign, S. A. Friedler, S. Neville, C. Scheidegger, and S. Venkatasubramanian, "Runaway feedback loops in predictive policing," in Proc. Conf. Fairness, Accountability Transparency (FAT*), PMLR vol. 81, 2018, pp. 160–171.</w:t>
      </w:r>
    </w:p>
    <w:p>
      <w:pPr>
        <w:spacing w:before="0" w:after="40" w:line="240" w:lineRule="auto"/>
        <w:ind w:left="288" w:hanging="288"/>
        <w:jc w:val="both"/>
      </w:pPr>
      <w:r>
        <w:rPr>
          <w:rFonts w:ascii="Times New Roman" w:hAnsi="Times New Roman"/>
          <w:sz w:val="16"/>
        </w:rPr>
        <w:t>[33] R. W. Sinnott, "Virtues of the haversine," Sky Telescope, vol. 68, no. 2, p. 159, 1984.</w:t>
      </w:r>
    </w:p>
    <w:p>
      <w:pPr>
        <w:spacing w:before="0" w:after="40" w:line="240" w:lineRule="auto"/>
        <w:ind w:left="288" w:hanging="288"/>
        <w:jc w:val="both"/>
      </w:pPr>
      <w:r>
        <w:rPr>
          <w:rFonts w:ascii="Times New Roman" w:hAnsi="Times New Roman"/>
          <w:sz w:val="16"/>
        </w:rPr>
        <w:t>[34] F. Pedregosa et al., "Scikit-learn: Machine learning in Python," J. Mach. Learn. Res., vol. 12, pp. 2825–2830, 2011.</w:t>
      </w:r>
    </w:p>
    <w:p>
      <w:pPr>
        <w:spacing w:before="0" w:after="40" w:line="240" w:lineRule="auto"/>
        <w:ind w:left="288" w:hanging="288"/>
        <w:jc w:val="both"/>
      </w:pPr>
      <w:r>
        <w:rPr>
          <w:rFonts w:ascii="Times New Roman" w:hAnsi="Times New Roman"/>
          <w:sz w:val="16"/>
        </w:rPr>
        <w:t>[35] R. Agrawal and R. Srikant, "Fast algorithms for mining association rules," in Proc. 20th Int. Conf. Very Large Data Bases (VLDB), 1994, pp. 487–499.</w:t>
      </w:r>
    </w:p>
    <w:p>
      <w:pPr>
        <w:spacing w:before="0" w:after="40" w:line="240" w:lineRule="auto"/>
        <w:ind w:left="288" w:hanging="288"/>
        <w:jc w:val="both"/>
      </w:pPr>
      <w:r>
        <w:rPr>
          <w:rFonts w:ascii="Times New Roman" w:hAnsi="Times New Roman"/>
          <w:sz w:val="16"/>
        </w:rPr>
        <w:t>[36] G. Salton and C. Buckley, "Term-weighting approaches in automatic text retrieval," Inf. Process. Manage., vol. 24, no. 5, pp. 513–523, 1988.</w:t>
      </w:r>
    </w:p>
    <w:p>
      <w:pPr>
        <w:spacing w:before="0" w:after="40" w:line="240" w:lineRule="auto"/>
        <w:ind w:left="288" w:hanging="288"/>
        <w:jc w:val="both"/>
      </w:pPr>
      <w:r>
        <w:rPr>
          <w:rFonts w:ascii="Times New Roman" w:hAnsi="Times New Roman"/>
          <w:sz w:val="16"/>
        </w:rPr>
        <w:t>[37] M. Thomson, E. Damaggio, and B. Raymor, Eds., "Generic event delivery using HTTP push," IETF RFC 8030, Dec. 2016.</w:t>
      </w:r>
    </w:p>
    <w:p>
      <w:pPr>
        <w:spacing w:before="0" w:after="40" w:line="240" w:lineRule="auto"/>
        <w:ind w:left="288" w:hanging="288"/>
        <w:jc w:val="both"/>
      </w:pPr>
      <w:r>
        <w:rPr>
          <w:rFonts w:ascii="Times New Roman" w:hAnsi="Times New Roman"/>
          <w:sz w:val="16"/>
        </w:rPr>
        <w:t>[38] M. Thomson and P. Beverloo, "Voluntary application server identification (VAPID) for web push," IETF RFC 8292, Nov. 2017.</w:t>
      </w:r>
    </w:p>
    <w:p>
      <w:pPr>
        <w:spacing w:before="0" w:after="40" w:line="240" w:lineRule="auto"/>
        <w:ind w:left="288" w:hanging="288"/>
        <w:jc w:val="both"/>
      </w:pPr>
      <w:r>
        <w:rPr>
          <w:rFonts w:ascii="Times New Roman" w:hAnsi="Times New Roman"/>
          <w:sz w:val="16"/>
        </w:rPr>
        <w:t>[39] A. Popescu, "Geolocation API specification, 2nd ed.," W3C Recommendation, 2016.</w:t>
      </w:r>
    </w:p>
    <w:p>
      <w:pPr>
        <w:spacing w:before="0" w:after="40" w:line="240" w:lineRule="auto"/>
        <w:ind w:left="288" w:hanging="288"/>
        <w:jc w:val="both"/>
      </w:pPr>
      <w:r>
        <w:rPr>
          <w:rFonts w:ascii="Times New Roman" w:hAnsi="Times New Roman"/>
          <w:sz w:val="16"/>
        </w:rPr>
        <w:t>[40] A. R. Beresford and F. Stajano, "Location privacy in pervasive computing," IEEE Pervasive Comput., vol. 2, no. 1, pp. 46–55, 2003.</w:t>
      </w:r>
    </w:p>
    <w:p>
      <w:pPr>
        <w:spacing w:before="0" w:after="40" w:line="240" w:lineRule="auto"/>
        <w:ind w:left="288" w:hanging="288"/>
        <w:jc w:val="both"/>
      </w:pPr>
      <w:r>
        <w:rPr>
          <w:rFonts w:ascii="Times New Roman" w:hAnsi="Times New Roman"/>
          <w:sz w:val="16"/>
        </w:rPr>
        <w:t>[41] N. Sakimura, J. Bradley, M. Jones, B. de Medeiros, and C. Mortimer, "OpenID Connect Core 1.0 incorporating errata set 1," OpenID Foundation, Nov. 2014.</w:t>
      </w:r>
    </w:p>
    <w:p>
      <w:pPr>
        <w:spacing w:before="0" w:after="40" w:line="240" w:lineRule="auto"/>
        <w:ind w:left="288" w:hanging="288"/>
        <w:jc w:val="both"/>
      </w:pPr>
      <w:r>
        <w:rPr>
          <w:rFonts w:ascii="Times New Roman" w:hAnsi="Times New Roman"/>
          <w:sz w:val="16"/>
        </w:rPr>
        <w:t>[42] Government of India, "The Digital Personal Data Protection Act, 2023," Act No. 22 of 2023, Aug. 2023.</w:t>
      </w:r>
    </w:p>
    <w:p>
      <w:pPr>
        <w:spacing w:before="0" w:after="40" w:line="240" w:lineRule="auto"/>
        <w:ind w:left="288" w:hanging="288"/>
        <w:jc w:val="both"/>
      </w:pPr>
      <w:r>
        <w:rPr>
          <w:rFonts w:ascii="Times New Roman" w:hAnsi="Times New Roman"/>
          <w:sz w:val="16"/>
        </w:rPr>
        <w:t>[43] J. Brooke, "SUS: A quick and dirty usability scale," in Usability Evaluation in Industry, P. W. Jordan et al., Eds. London, U.K.: Taylor &amp; Francis, 1996, pp. 189–194.</w:t>
      </w:r>
    </w:p>
    <w:sectPr w:rsidR="00FC693F" w:rsidRPr="0006063C" w:rsidSect="00034616">
      <w:type w:val="continuous"/>
      <w:pgSz w:w="12240" w:h="15840"/>
      <w:pgMar w:top="1080" w:right="900" w:bottom="1224" w:left="900" w:header="720" w:footer="720" w:gutter="0"/>
      <w:cols w:space="720"/>
      <w:docGrid w:linePitch="360"/>
      <w:cols w:num="2" w:space="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