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jc w:val="center"/>
      </w:pPr>
      <w:r>
        <w:rPr>
          <w:rFonts w:ascii="Times New Roman" w:hAnsi="Times New Roman"/>
          <w:b w:val="0"/>
          <w:sz w:val="44"/>
        </w:rPr>
        <w:t>CrimeSense: A Unified Crime Hotspot Visualization, Zone Classification and Personal Safety Platform with Pattern Recurrence Analysis for Vellore, India</w:t>
      </w:r>
    </w:p>
    <w:p>
      <w:pPr>
        <w:spacing w:after="40"/>
        <w:jc w:val="center"/>
      </w:pPr>
      <w:r>
        <w:rPr>
          <w:rFonts w:ascii="Times New Roman" w:hAnsi="Times New Roman"/>
          <w:sz w:val="22"/>
        </w:rPr>
        <w:t>Sruthilaya J D, Mahithaa R, Sujeetha S</w:t>
      </w:r>
    </w:p>
    <w:p>
      <w:pPr>
        <w:spacing w:after="40"/>
        <w:jc w:val="center"/>
      </w:pPr>
      <w:r>
        <w:rPr>
          <w:rFonts w:ascii="Times New Roman" w:hAnsi="Times New Roman"/>
          <w:sz w:val="20"/>
        </w:rPr>
        <w:t>24MID0184, 24MID0239, 24MID0163</w:t>
      </w:r>
    </w:p>
    <w:p>
      <w:pPr>
        <w:spacing w:after="200"/>
        <w:jc w:val="center"/>
      </w:pPr>
      <w:r>
        <w:rPr>
          <w:rFonts w:ascii="Times New Roman" w:hAnsi="Times New Roman"/>
          <w:sz w:val="20"/>
        </w:rPr>
        <w:t>School of Computer Science and Engineering, Vellore Institute of Technology, Vellore, Tamil Nadu, India</w:t>
      </w:r>
    </w:p>
    <w:p>
      <w:pPr>
        <w:sectPr>
          <w:pgSz w:w="12240" w:h="15840"/>
          <w:pgMar w:top="1080" w:right="900" w:bottom="1224" w:left="900" w:header="720" w:footer="720" w:gutter="0"/>
          <w:cols w:space="720"/>
          <w:docGrid w:linePitch="360"/>
        </w:sectPr>
      </w:pPr>
    </w:p>
    <w:p>
      <w:pPr>
        <w:spacing w:before="0" w:after="60" w:line="245" w:lineRule="auto"/>
        <w:jc w:val="both"/>
      </w:pPr>
      <w:r>
        <w:rPr>
          <w:rFonts w:ascii="Times New Roman" w:hAnsi="Times New Roman"/>
          <w:b/>
          <w:sz w:val="18"/>
        </w:rPr>
        <w:t xml:space="preserve">Abstract: </w:t>
      </w:r>
      <w:r>
        <w:rPr>
          <w:rFonts w:ascii="Times New Roman" w:hAnsi="Times New Roman"/>
          <w:b/>
          <w:sz w:val="18"/>
        </w:rPr>
        <w:t>Residents of Tier II Indian cities rarely have a direct method to evaluate how a street, market, or transit junction features in recent crime reporting, while personal safety applications commonly remain restricted to panic button dispatch. CrimeSense is a unified platform combining analyst crime visualization with a resident safety assistant for Vellore, Tamil Nadu. A database of 596 news sourced incident records, each retaining a verified web link, locality coordinate, type severity score, and risk level, drives a three tier zone classifier (green, yellow, red), administrative hotspot maps, and a consent gated live map. For residents, the system provides a pre-visit destination advisory explaining local reports, a safe haven finder ranking nearby police stations, hospitals, supermarkets, and staffed commercial centers, and an SOS channel alerting chosen contacts manually or upon extended inactivity inside red zones. A pattern recurrence module based on near repeat permutation tests and association rules is formulated to discover sequential crime patterns. We document verified database integrity, authentication, role separated routing, and user persistence, alongside an evaluation protocol for predictive calibration, haven coverage audits, and user studies.</w:t>
      </w:r>
    </w:p>
    <w:p>
      <w:pPr>
        <w:spacing w:before="20" w:after="120"/>
        <w:jc w:val="both"/>
      </w:pPr>
      <w:r>
        <w:rPr>
          <w:rFonts w:ascii="Times New Roman" w:hAnsi="Times New Roman"/>
          <w:b/>
          <w:i/>
          <w:sz w:val="18"/>
        </w:rPr>
        <w:t xml:space="preserve">Keywords: </w:t>
      </w:r>
      <w:r>
        <w:rPr>
          <w:rFonts w:ascii="Times New Roman" w:hAnsi="Times New Roman"/>
          <w:sz w:val="18"/>
        </w:rPr>
        <w:t>crime hotspot visualization, zone classification, near repeat analysis, personal safety application, SOS alerting, news derived crime data, geospatial uncertainty, safe haven</w:t>
      </w:r>
    </w:p>
    <w:p>
      <w:pPr>
        <w:keepNext/>
        <w:spacing w:before="160" w:after="60"/>
        <w:jc w:val="center"/>
      </w:pPr>
      <w:r>
        <w:rPr>
          <w:rFonts w:ascii="Times New Roman" w:hAnsi="Times New Roman"/>
          <w:b w:val="0"/>
          <w:sz w:val="20"/>
        </w:rPr>
        <w:t>I. INTRODUCTION</w:t>
      </w:r>
    </w:p>
    <w:p>
      <w:pPr>
        <w:spacing w:before="0" w:after="40" w:line="247" w:lineRule="auto"/>
        <w:ind w:firstLine="202"/>
        <w:jc w:val="both"/>
      </w:pPr>
      <w:r>
        <w:rPr>
          <w:rFonts w:ascii="Times New Roman" w:hAnsi="Times New Roman"/>
          <w:sz w:val="20"/>
        </w:rPr>
        <w:t>Crime is not spread evenly over an urban landscape. A small number of street segments and neighbourhoods account for a large share of incidents, and this regularity is strong enough to have been described as a law of crime concentration [1], [2]. Routine activity theory explains why: offences occur where motivated offenders, suitable targets, and a lack of capable guardians coincide in space and time [3]. Crime pattern theory adds that offenders operate primarily in familiar places they regularly traverse [4]. Hotspot maps built upon these foundations form a standard instrument of civic policing and have been linked to crime reductions in targeted locations [5], [6].</w:t>
      </w:r>
    </w:p>
    <w:p>
      <w:pPr>
        <w:spacing w:before="0" w:after="40" w:line="247" w:lineRule="auto"/>
        <w:ind w:firstLine="202"/>
        <w:jc w:val="both"/>
      </w:pPr>
      <w:r>
        <w:rPr>
          <w:rFonts w:ascii="Times New Roman" w:hAnsi="Times New Roman"/>
          <w:sz w:val="20"/>
        </w:rPr>
        <w:t>The person who actually has to decide whether to wait at a bus stop at nine in the evening rarely accesses this evidence. Two major gaps stand out. First, spatial intelligence is produced for analysts and police rather than residents, while official records are published as annual municipal aggregates [7] that cannot answer questions regarding a specific street. Second, civilian safety applications are predominantly reactive. A standard tool sends coordinates to police and contacts following a phone shake or button press [8]. Such mechanisms do nothing if the user cannot press the button, and they possess zero contextual awareness regarding the risk profile of the surrounding neighborhood.</w:t>
      </w:r>
    </w:p>
    <w:p>
      <w:pPr>
        <w:spacing w:before="0" w:after="40" w:line="247" w:lineRule="auto"/>
        <w:ind w:firstLine="202"/>
        <w:jc w:val="both"/>
      </w:pPr>
      <w:r>
        <w:rPr>
          <w:rFonts w:ascii="Times New Roman" w:hAnsi="Times New Roman"/>
          <w:sz w:val="20"/>
        </w:rPr>
        <w:t>CrimeSense bridges both gaps in one unified platform for Vellore, Tamil Nadu. For a Tier II city, incident level open data is scarce, so the platform builds its empirical foundation from publicly reported crime news, an established methodology in computational spatial analysis [9], [10] that nevertheless requires careful handling of reporting habits [11]. Over this single data store, we construct two role separated interfaces. The administrator interface provides spatial heatmaps, DBSCAN hotspots, historical multi-year records, user management, and an alert console. The resident interface provides an intuitive search bar, color coded zone indicators (green, yellow, or red), an SOS button, saved locations, and user preferences.</w:t>
      </w:r>
    </w:p>
    <w:p>
      <w:pPr>
        <w:spacing w:before="0" w:after="40" w:line="247" w:lineRule="auto"/>
        <w:ind w:firstLine="202"/>
        <w:jc w:val="both"/>
      </w:pPr>
      <w:r>
        <w:rPr>
          <w:rFonts w:ascii="Times New Roman" w:hAnsi="Times New Roman"/>
          <w:sz w:val="20"/>
        </w:rPr>
        <w:t>Beyond these features, CrimeSense introduces three core capabilities:</w:t>
      </w:r>
    </w:p>
    <w:p>
      <w:pPr>
        <w:spacing w:before="0" w:after="30" w:line="245" w:lineRule="auto"/>
        <w:ind w:left="259" w:hanging="173"/>
        <w:jc w:val="both"/>
      </w:pPr>
      <w:r>
        <w:rPr>
          <w:rFonts w:ascii="Times New Roman" w:hAnsi="Times New Roman"/>
          <w:b/>
          <w:sz w:val="19"/>
        </w:rPr>
        <w:t xml:space="preserve">•  </w:t>
      </w:r>
      <w:r>
        <w:rPr>
          <w:rFonts w:ascii="Times New Roman" w:hAnsi="Times New Roman"/>
          <w:sz w:val="19"/>
        </w:rPr>
        <w:t>Pattern recurrence analysis: Investigating whether history repeats by examining if specific crimes systematically follow one another across space and time.</w:t>
      </w:r>
    </w:p>
    <w:p>
      <w:pPr>
        <w:spacing w:before="0" w:after="30" w:line="245" w:lineRule="auto"/>
        <w:ind w:left="259" w:hanging="173"/>
        <w:jc w:val="both"/>
      </w:pPr>
      <w:r>
        <w:rPr>
          <w:rFonts w:ascii="Times New Roman" w:hAnsi="Times New Roman"/>
          <w:b/>
          <w:sz w:val="19"/>
        </w:rPr>
        <w:t xml:space="preserve">•  </w:t>
      </w:r>
      <w:r>
        <w:rPr>
          <w:rFonts w:ascii="Times New Roman" w:hAnsi="Times New Roman"/>
          <w:sz w:val="19"/>
        </w:rPr>
        <w:t>Safe haven finder: Directing an uneasy citizen to the nearest staffed commercial or civic social hub where active human presence provides natural surveillance.</w:t>
      </w:r>
    </w:p>
    <w:p>
      <w:pPr>
        <w:spacing w:before="0" w:after="30" w:line="245" w:lineRule="auto"/>
        <w:ind w:left="259" w:hanging="173"/>
        <w:jc w:val="both"/>
      </w:pPr>
      <w:r>
        <w:rPr>
          <w:rFonts w:ascii="Times New Roman" w:hAnsi="Times New Roman"/>
          <w:b/>
          <w:sz w:val="19"/>
        </w:rPr>
        <w:t xml:space="preserve">•  </w:t>
      </w:r>
      <w:r>
        <w:rPr>
          <w:rFonts w:ascii="Times New Roman" w:hAnsi="Times New Roman"/>
          <w:sz w:val="19"/>
        </w:rPr>
        <w:t>Pre-visit destination advisory: Explaining what has occurred near a prospective destination and advising whether traveling with company is sensible.</w:t>
      </w:r>
    </w:p>
    <w:p>
      <w:pPr>
        <w:spacing w:before="0" w:after="40" w:line="247" w:lineRule="auto"/>
        <w:ind w:firstLine="202"/>
        <w:jc w:val="both"/>
      </w:pPr>
      <w:r>
        <w:rPr>
          <w:rFonts w:ascii="Times New Roman" w:hAnsi="Times New Roman"/>
          <w:sz w:val="20"/>
        </w:rPr>
        <w:t>This paper delineates verified implementations from proposed designs. Section III details the system architecture. Section IV states the implementation status with every module cataloged. Section V summarizes the empirical dataset. Section VI outlines an evaluation protocol with explicit metrics, and Section VII addresses ethical governance, reporting bias, and privacy safeguards. The contributions include:</w:t>
      </w:r>
    </w:p>
    <w:p>
      <w:pPr>
        <w:spacing w:before="0" w:after="30" w:line="245" w:lineRule="auto"/>
        <w:ind w:left="259" w:hanging="173"/>
        <w:jc w:val="both"/>
      </w:pPr>
      <w:r>
        <w:rPr>
          <w:rFonts w:ascii="Times New Roman" w:hAnsi="Times New Roman"/>
          <w:b/>
          <w:sz w:val="19"/>
        </w:rPr>
        <w:t xml:space="preserve">•  </w:t>
      </w:r>
      <w:r>
        <w:rPr>
          <w:rFonts w:ascii="Times New Roman" w:hAnsi="Times New Roman"/>
          <w:sz w:val="19"/>
        </w:rPr>
        <w:t>An integrated, role separated architecture linking a database backed crime store, an analyst dashboard, and a mobile resident safety application.</w:t>
      </w:r>
    </w:p>
    <w:p>
      <w:pPr>
        <w:spacing w:before="0" w:after="30" w:line="245" w:lineRule="auto"/>
        <w:ind w:left="259" w:hanging="173"/>
        <w:jc w:val="both"/>
      </w:pPr>
      <w:r>
        <w:rPr>
          <w:rFonts w:ascii="Times New Roman" w:hAnsi="Times New Roman"/>
          <w:b/>
          <w:sz w:val="19"/>
        </w:rPr>
        <w:t xml:space="preserve">•  </w:t>
      </w:r>
      <w:r>
        <w:rPr>
          <w:rFonts w:ascii="Times New Roman" w:hAnsi="Times New Roman"/>
          <w:sz w:val="19"/>
        </w:rPr>
        <w:t>A transparent, configurable zone classification model with explicit parameters, paired with an advisory format that explains evidence without declaring any location unconditionally safe.</w:t>
      </w:r>
    </w:p>
    <w:p>
      <w:pPr>
        <w:spacing w:before="0" w:after="30" w:line="245" w:lineRule="auto"/>
        <w:ind w:left="259" w:hanging="173"/>
        <w:jc w:val="both"/>
      </w:pPr>
      <w:r>
        <w:rPr>
          <w:rFonts w:ascii="Times New Roman" w:hAnsi="Times New Roman"/>
          <w:b/>
          <w:sz w:val="19"/>
        </w:rPr>
        <w:t xml:space="preserve">•  </w:t>
      </w:r>
      <w:r>
        <w:rPr>
          <w:rFonts w:ascii="Times New Roman" w:hAnsi="Times New Roman"/>
          <w:sz w:val="19"/>
        </w:rPr>
        <w:t>A pattern recurrence methodology (near repeat permutation testing, sequential association rules, and a recurrence index) to identify repeating crime sequences.</w:t>
      </w:r>
    </w:p>
    <w:p>
      <w:pPr>
        <w:spacing w:before="0" w:after="30" w:line="245" w:lineRule="auto"/>
        <w:ind w:left="259" w:hanging="173"/>
        <w:jc w:val="both"/>
      </w:pPr>
      <w:r>
        <w:rPr>
          <w:rFonts w:ascii="Times New Roman" w:hAnsi="Times New Roman"/>
          <w:b/>
          <w:sz w:val="19"/>
        </w:rPr>
        <w:t xml:space="preserve">•  </w:t>
      </w:r>
      <w:r>
        <w:rPr>
          <w:rFonts w:ascii="Times New Roman" w:hAnsi="Times New Roman"/>
          <w:sz w:val="19"/>
        </w:rPr>
        <w:t>A safe haven discovery algorithm ranking police stations, hospitals, commercial shops, and social hubs by category weight, operational status, distance, and local zone score.</w:t>
      </w:r>
    </w:p>
    <w:p>
      <w:pPr>
        <w:spacing w:before="0" w:after="30" w:line="245" w:lineRule="auto"/>
        <w:ind w:left="259" w:hanging="173"/>
        <w:jc w:val="both"/>
      </w:pPr>
      <w:r>
        <w:rPr>
          <w:rFonts w:ascii="Times New Roman" w:hAnsi="Times New Roman"/>
          <w:b/>
          <w:sz w:val="19"/>
        </w:rPr>
        <w:t xml:space="preserve">•  </w:t>
      </w:r>
      <w:r>
        <w:rPr>
          <w:rFonts w:ascii="Times New Roman" w:hAnsi="Times New Roman"/>
          <w:sz w:val="19"/>
        </w:rPr>
        <w:t>An SOS escalation design uniting manual double confirmation triggering with an autonomous dwell and inactivity finite state machine.</w:t>
      </w:r>
    </w:p>
    <w:p>
      <w:pPr>
        <w:spacing w:before="0" w:after="30" w:line="245" w:lineRule="auto"/>
        <w:ind w:left="259" w:hanging="173"/>
        <w:jc w:val="both"/>
      </w:pPr>
      <w:r>
        <w:rPr>
          <w:rFonts w:ascii="Times New Roman" w:hAnsi="Times New Roman"/>
          <w:b/>
          <w:sz w:val="19"/>
        </w:rPr>
        <w:t xml:space="preserve">•  </w:t>
      </w:r>
      <w:r>
        <w:rPr>
          <w:rFonts w:ascii="Times New Roman" w:hAnsi="Times New Roman"/>
          <w:sz w:val="19"/>
        </w:rPr>
        <w:t>An empirical verification report of the operational database (596 incident records across 11 tables) and an experimental protocol for prospective modules.</w:t>
      </w:r>
    </w:p>
    <w:p>
      <w:pPr>
        <w:keepNext/>
        <w:spacing w:before="160" w:after="60"/>
        <w:jc w:val="center"/>
      </w:pPr>
      <w:r>
        <w:rPr>
          <w:rFonts w:ascii="Times New Roman" w:hAnsi="Times New Roman"/>
          <w:b w:val="0"/>
          <w:sz w:val="20"/>
        </w:rPr>
        <w:t>II. RELATED WORK</w:t>
      </w:r>
    </w:p>
    <w:p>
      <w:pPr>
        <w:keepNext/>
        <w:spacing w:before="120" w:after="40"/>
        <w:jc w:val="left"/>
      </w:pPr>
      <w:r>
        <w:rPr>
          <w:rFonts w:ascii="Times New Roman" w:hAnsi="Times New Roman"/>
          <w:i/>
          <w:sz w:val="19"/>
        </w:rPr>
        <w:t>A. Crime Concentration and Hotspot Mapping</w:t>
      </w:r>
    </w:p>
    <w:p>
      <w:pPr>
        <w:spacing w:before="0" w:after="40" w:line="247" w:lineRule="auto"/>
        <w:ind w:firstLine="202"/>
        <w:jc w:val="both"/>
      </w:pPr>
      <w:r>
        <w:rPr>
          <w:rFonts w:ascii="Times New Roman" w:hAnsi="Times New Roman"/>
          <w:sz w:val="20"/>
        </w:rPr>
        <w:t>Micro-place research demonstrates that crime clusters at fine geographic scales [1], [2]. Hotspots are visualized through point clusters, grid matrices, or kernel density surfaces [5], [12], with temporal weighting improving short term predictive surfaces [13]. DBSCAN [14] identifies clusters of arbitrary geometry without predefined grids, isolating sparse incidents as noise. Systematic reviews confirm the efficacy of concentrating patrol resources in such locations [6]. However, these analytical methods are built exclusively for police commanders and do not directly answer citizen safety questions regarding a travel destination.</w:t>
      </w:r>
    </w:p>
    <w:p>
      <w:pPr>
        <w:keepNext/>
        <w:spacing w:before="120" w:after="40"/>
        <w:jc w:val="left"/>
      </w:pPr>
      <w:r>
        <w:rPr>
          <w:rFonts w:ascii="Times New Roman" w:hAnsi="Times New Roman"/>
          <w:i/>
          <w:sz w:val="19"/>
        </w:rPr>
        <w:t>B. Forecasting and Risk Terrain Modelling</w:t>
      </w:r>
    </w:p>
    <w:p>
      <w:pPr>
        <w:spacing w:before="0" w:after="40" w:line="247" w:lineRule="auto"/>
        <w:ind w:firstLine="202"/>
        <w:jc w:val="both"/>
      </w:pPr>
      <w:r>
        <w:rPr>
          <w:rFonts w:ascii="Times New Roman" w:hAnsi="Times New Roman"/>
          <w:sz w:val="20"/>
        </w:rPr>
        <w:t>Self-exciting point process formulations capture how an initial event elevates the near term likelihood of subsequent local offences [15]. Risk terrain modeling connects spatial crime rates to environmental attractors such as transit nodes and unlit corridors [16], with meta-analyses demonstrating its utility in highlighting heightened risk zones [17]. Broader surveys on spatial crime forecasting [18] and machine learning frameworks [19], [20] reveal substantial methodological diversity. Most models assume access to dense police dispatch registries that are rarely accessible in Tier II municipalities. CrimeSense therefore builds upon an interpretable weighted severity formulation, preserving learned models for subsequent held-out empirical evaluations.</w:t>
      </w:r>
    </w:p>
    <w:p>
      <w:pPr>
        <w:keepNext/>
        <w:spacing w:before="120" w:after="40"/>
        <w:jc w:val="left"/>
      </w:pPr>
      <w:r>
        <w:rPr>
          <w:rFonts w:ascii="Times New Roman" w:hAnsi="Times New Roman"/>
          <w:i/>
          <w:sz w:val="19"/>
        </w:rPr>
        <w:t>C. Repeat and Near-Repeat Patterns</w:t>
      </w:r>
    </w:p>
    <w:p>
      <w:pPr>
        <w:spacing w:before="0" w:after="40" w:line="247" w:lineRule="auto"/>
        <w:ind w:firstLine="202"/>
        <w:jc w:val="both"/>
      </w:pPr>
      <w:r>
        <w:rPr>
          <w:rFonts w:ascii="Times New Roman" w:hAnsi="Times New Roman"/>
          <w:sz w:val="20"/>
        </w:rPr>
        <w:t>The Knox test evaluates whether incident pairs close in space are also close in time more frequently than random probability suggests [21]. Applied extensively to property offenses, it identified near repeat victimization, where a victimized premises and nearby neighbors experience elevated vulnerability over a bounded duration [22], [23]. Prior works present these outputs solely to criminological researchers. In our review, no system connects near repeat detection directly to civilian mobile safety tools.</w:t>
      </w:r>
    </w:p>
    <w:p>
      <w:pPr>
        <w:keepNext/>
        <w:spacing w:before="120" w:after="40"/>
        <w:jc w:val="left"/>
      </w:pPr>
      <w:r>
        <w:rPr>
          <w:rFonts w:ascii="Times New Roman" w:hAnsi="Times New Roman"/>
          <w:i/>
          <w:sz w:val="19"/>
        </w:rPr>
        <w:t>D. News-Derived Crime Data and Geocoding</w:t>
      </w:r>
    </w:p>
    <w:p>
      <w:pPr>
        <w:spacing w:before="0" w:after="40" w:line="247" w:lineRule="auto"/>
        <w:ind w:firstLine="202"/>
        <w:jc w:val="both"/>
      </w:pPr>
      <w:r>
        <w:rPr>
          <w:rFonts w:ascii="Times New Roman" w:hAnsi="Times New Roman"/>
          <w:sz w:val="20"/>
        </w:rPr>
        <w:t>Where official CAD feeds are restricted, social media and digital news archives provide valuable proxies for spatial crime analysis [9], [10]. Journalistic archives provide rich incident narratives, though they reflect editorial selection criteria [11]. Furthermore, converting written locality descriptions into coordinates introduces spatial imprecision [24], making positional confidence reporting essential [25]. We incorporate these constraints directly into our confidence flags and threat assessments.</w:t>
      </w:r>
    </w:p>
    <w:p>
      <w:pPr>
        <w:keepNext/>
        <w:spacing w:before="120" w:after="40"/>
        <w:jc w:val="left"/>
      </w:pPr>
      <w:r>
        <w:rPr>
          <w:rFonts w:ascii="Times New Roman" w:hAnsi="Times New Roman"/>
          <w:i/>
          <w:sz w:val="19"/>
        </w:rPr>
        <w:t>E. Safe Routing, Natural Surveillance, and Safety Tools</w:t>
      </w:r>
    </w:p>
    <w:p>
      <w:pPr>
        <w:spacing w:before="0" w:after="40" w:line="247" w:lineRule="auto"/>
        <w:ind w:firstLine="202"/>
        <w:jc w:val="both"/>
      </w:pPr>
      <w:r>
        <w:rPr>
          <w:rFonts w:ascii="Times New Roman" w:hAnsi="Times New Roman"/>
          <w:sz w:val="20"/>
        </w:rPr>
        <w:t>Safe routing methods frame pedestrian navigation as a multi-criteria optimization balancing path distance against crime exposure [26]. Our approach is complementary: rather than routing between distant waypoints, CrimeSense classifies local destinations, identifies immediate safe havens, and escalates emergencies when a user cannot navigate. The concept of a safe haven relies on Jane Jacobs' observation that busy, staffed commercial centers are safeguarded by natural surveillance and 'eyes on the street' [27], corroborated by Oscar Newman's defensible space framework [28]. Candidate POIs are extracted from OpenStreetMap [29]. Finally, algorithmic systems must actively prevent reinforcing historical bias [30], [31], [32], which we address through transparent, non-pejorative design.</w:t>
      </w:r>
    </w:p>
    <w:p>
      <w:pPr>
        <w:keepNext/>
        <w:spacing w:before="120" w:after="20"/>
        <w:jc w:val="center"/>
      </w:pPr>
      <w:r>
        <w:rPr>
          <w:rFonts w:ascii="Times New Roman" w:hAnsi="Times New Roman"/>
          <w:sz w:val="16"/>
        </w:rPr>
        <w:t>TABLE I</w:t>
      </w:r>
    </w:p>
    <w:p>
      <w:pPr>
        <w:keepNext/>
        <w:spacing w:before="0" w:after="60"/>
        <w:jc w:val="center"/>
      </w:pPr>
      <w:r>
        <w:rPr>
          <w:rFonts w:ascii="Times New Roman" w:hAnsi="Times New Roman"/>
          <w:sz w:val="15"/>
        </w:rPr>
        <w:t>PRIOR WORK BY CATEGORY AND WHAT EACH LACKS FOR RESIDENT SAFETY</w:t>
      </w:r>
    </w:p>
    <w:tbl>
      <w:tblPr>
        <w:tblW w:type="auto" w:w="0"/>
        <w:tblLook w:firstColumn="1" w:firstRow="1" w:lastColumn="0" w:lastRow="0" w:noHBand="0" w:noVBand="1" w:val="04A0"/>
        <w:tblBorders>
          <w:top w:val="single" w:sz="6" w:space="0" w:color="000000"/>
          <w:bottom w:val="single" w:sz="6" w:space="0" w:color="000000"/>
          <w:insideH w:val="single" w:sz="4" w:space="0" w:color="000000"/>
          <w:insideV w:val="none"/>
          <w:left w:val="none"/>
          <w:right w:val="none"/>
        </w:tblBorders>
      </w:tblPr>
      <w:tblGrid>
        <w:gridCol w:w="3480"/>
        <w:gridCol w:w="3480"/>
        <w:gridCol w:w="3480"/>
      </w:tblGrid>
      <w:tr>
        <w:tc>
          <w:tcPr>
            <w:tcW w:type="dxa" w:w="3480"/>
            <w:tcMar>
              <w:top w:w="35" w:type="dxa"/>
              <w:bottom w:w="35" w:type="dxa"/>
              <w:left w:w="50" w:type="dxa"/>
              <w:right w:w="50" w:type="dxa"/>
            </w:tcMar>
          </w:tcPr>
          <w:p>
            <w:r>
              <w:rPr>
                <w:rFonts w:ascii="Times New Roman" w:hAnsi="Times New Roman"/>
                <w:b/>
                <w:sz w:val="15"/>
              </w:rPr>
              <w:t>Category</w:t>
            </w:r>
          </w:p>
        </w:tc>
        <w:tc>
          <w:tcPr>
            <w:tcW w:type="dxa" w:w="3480"/>
            <w:tcMar>
              <w:top w:w="35" w:type="dxa"/>
              <w:bottom w:w="35" w:type="dxa"/>
              <w:left w:w="50" w:type="dxa"/>
              <w:right w:w="50" w:type="dxa"/>
            </w:tcMar>
          </w:tcPr>
          <w:p>
            <w:r>
              <w:rPr>
                <w:rFonts w:ascii="Times New Roman" w:hAnsi="Times New Roman"/>
                <w:b/>
                <w:sz w:val="15"/>
              </w:rPr>
              <w:t>Typical Scope</w:t>
            </w:r>
          </w:p>
        </w:tc>
        <w:tc>
          <w:tcPr>
            <w:tcW w:type="dxa" w:w="3480"/>
            <w:tcMar>
              <w:top w:w="35" w:type="dxa"/>
              <w:bottom w:w="35" w:type="dxa"/>
              <w:left w:w="50" w:type="dxa"/>
              <w:right w:w="50" w:type="dxa"/>
            </w:tcMar>
          </w:tcPr>
          <w:p>
            <w:r>
              <w:rPr>
                <w:rFonts w:ascii="Times New Roman" w:hAnsi="Times New Roman"/>
                <w:b/>
                <w:sz w:val="15"/>
              </w:rPr>
              <w:t>Missing Relative to CrimeSense</w:t>
            </w:r>
          </w:p>
        </w:tc>
      </w:tr>
      <w:tr>
        <w:tc>
          <w:tcPr>
            <w:tcW w:type="dxa" w:w="3480"/>
            <w:tcMar>
              <w:top w:w="25" w:type="dxa"/>
              <w:bottom w:w="25" w:type="dxa"/>
              <w:left w:w="45" w:type="dxa"/>
              <w:right w:w="45" w:type="dxa"/>
            </w:tcMar>
          </w:tcPr>
          <w:p>
            <w:r>
              <w:rPr>
                <w:rFonts w:ascii="Times New Roman" w:hAnsi="Times New Roman"/>
                <w:sz w:val="14"/>
              </w:rPr>
              <w:t>Hotspot mapping [5], [13]</w:t>
            </w:r>
          </w:p>
        </w:tc>
        <w:tc>
          <w:tcPr>
            <w:tcW w:type="dxa" w:w="3480"/>
            <w:tcMar>
              <w:top w:w="25" w:type="dxa"/>
              <w:bottom w:w="25" w:type="dxa"/>
              <w:left w:w="45" w:type="dxa"/>
              <w:right w:w="45" w:type="dxa"/>
            </w:tcMar>
          </w:tcPr>
          <w:p>
            <w:r>
              <w:rPr>
                <w:rFonts w:ascii="Times New Roman" w:hAnsi="Times New Roman"/>
                <w:sz w:val="14"/>
              </w:rPr>
              <w:t>Analyst concentration maps</w:t>
            </w:r>
          </w:p>
        </w:tc>
        <w:tc>
          <w:tcPr>
            <w:tcW w:type="dxa" w:w="3480"/>
            <w:tcMar>
              <w:top w:w="25" w:type="dxa"/>
              <w:bottom w:w="25" w:type="dxa"/>
              <w:left w:w="45" w:type="dxa"/>
              <w:right w:w="45" w:type="dxa"/>
            </w:tcMar>
          </w:tcPr>
          <w:p>
            <w:r>
              <w:rPr>
                <w:rFonts w:ascii="Times New Roman" w:hAnsi="Times New Roman"/>
                <w:sz w:val="14"/>
              </w:rPr>
              <w:t>Resident zone badges and automated alerts</w:t>
            </w:r>
          </w:p>
        </w:tc>
      </w:tr>
      <w:tr>
        <w:tc>
          <w:tcPr>
            <w:tcW w:type="dxa" w:w="3480"/>
            <w:tcMar>
              <w:top w:w="25" w:type="dxa"/>
              <w:bottom w:w="25" w:type="dxa"/>
              <w:left w:w="45" w:type="dxa"/>
              <w:right w:w="45" w:type="dxa"/>
            </w:tcMar>
          </w:tcPr>
          <w:p>
            <w:r>
              <w:rPr>
                <w:rFonts w:ascii="Times New Roman" w:hAnsi="Times New Roman"/>
                <w:sz w:val="14"/>
              </w:rPr>
              <w:t>Forecasting, RTM [15], [16]</w:t>
            </w:r>
          </w:p>
        </w:tc>
        <w:tc>
          <w:tcPr>
            <w:tcW w:type="dxa" w:w="3480"/>
            <w:tcMar>
              <w:top w:w="25" w:type="dxa"/>
              <w:bottom w:w="25" w:type="dxa"/>
              <w:left w:w="45" w:type="dxa"/>
              <w:right w:w="45" w:type="dxa"/>
            </w:tcMar>
          </w:tcPr>
          <w:p>
            <w:r>
              <w:rPr>
                <w:rFonts w:ascii="Times New Roman" w:hAnsi="Times New Roman"/>
                <w:sz w:val="14"/>
              </w:rPr>
              <w:t>Risk surfaces from rich CAD records</w:t>
            </w:r>
          </w:p>
        </w:tc>
        <w:tc>
          <w:tcPr>
            <w:tcW w:type="dxa" w:w="3480"/>
            <w:tcMar>
              <w:top w:w="25" w:type="dxa"/>
              <w:bottom w:w="25" w:type="dxa"/>
              <w:left w:w="45" w:type="dxa"/>
              <w:right w:w="45" w:type="dxa"/>
            </w:tcMar>
          </w:tcPr>
          <w:p>
            <w:r>
              <w:rPr>
                <w:rFonts w:ascii="Times New Roman" w:hAnsi="Times New Roman"/>
                <w:sz w:val="14"/>
              </w:rPr>
              <w:t>Resident interface, news scale handling, dwell escalation</w:t>
            </w:r>
          </w:p>
        </w:tc>
      </w:tr>
      <w:tr>
        <w:tc>
          <w:tcPr>
            <w:tcW w:type="dxa" w:w="3480"/>
            <w:tcMar>
              <w:top w:w="25" w:type="dxa"/>
              <w:bottom w:w="25" w:type="dxa"/>
              <w:left w:w="45" w:type="dxa"/>
              <w:right w:w="45" w:type="dxa"/>
            </w:tcMar>
          </w:tcPr>
          <w:p>
            <w:r>
              <w:rPr>
                <w:rFonts w:ascii="Times New Roman" w:hAnsi="Times New Roman"/>
                <w:sz w:val="14"/>
              </w:rPr>
              <w:t>Near repeat analysis [21], [22]</w:t>
            </w:r>
          </w:p>
        </w:tc>
        <w:tc>
          <w:tcPr>
            <w:tcW w:type="dxa" w:w="3480"/>
            <w:tcMar>
              <w:top w:w="25" w:type="dxa"/>
              <w:bottom w:w="25" w:type="dxa"/>
              <w:left w:w="45" w:type="dxa"/>
              <w:right w:w="45" w:type="dxa"/>
            </w:tcMar>
          </w:tcPr>
          <w:p>
            <w:r>
              <w:rPr>
                <w:rFonts w:ascii="Times New Roman" w:hAnsi="Times New Roman"/>
                <w:sz w:val="14"/>
              </w:rPr>
              <w:t>Space time clustering on burglary</w:t>
            </w:r>
          </w:p>
        </w:tc>
        <w:tc>
          <w:tcPr>
            <w:tcW w:type="dxa" w:w="3480"/>
            <w:tcMar>
              <w:top w:w="25" w:type="dxa"/>
              <w:bottom w:w="25" w:type="dxa"/>
              <w:left w:w="45" w:type="dxa"/>
              <w:right w:w="45" w:type="dxa"/>
            </w:tcMar>
          </w:tcPr>
          <w:p>
            <w:r>
              <w:rPr>
                <w:rFonts w:ascii="Times New Roman" w:hAnsi="Times New Roman"/>
                <w:sz w:val="14"/>
              </w:rPr>
              <w:t>Delivery of recurring patterns to mobile users</w:t>
            </w:r>
          </w:p>
        </w:tc>
      </w:tr>
      <w:tr>
        <w:tc>
          <w:tcPr>
            <w:tcW w:type="dxa" w:w="3480"/>
            <w:tcMar>
              <w:top w:w="25" w:type="dxa"/>
              <w:bottom w:w="25" w:type="dxa"/>
              <w:left w:w="45" w:type="dxa"/>
              <w:right w:w="45" w:type="dxa"/>
            </w:tcMar>
          </w:tcPr>
          <w:p>
            <w:r>
              <w:rPr>
                <w:rFonts w:ascii="Times New Roman" w:hAnsi="Times New Roman"/>
                <w:sz w:val="14"/>
              </w:rPr>
              <w:t>News derived crime [9], [10]</w:t>
            </w:r>
          </w:p>
        </w:tc>
        <w:tc>
          <w:tcPr>
            <w:tcW w:type="dxa" w:w="3480"/>
            <w:tcMar>
              <w:top w:w="25" w:type="dxa"/>
              <w:bottom w:w="25" w:type="dxa"/>
              <w:left w:w="45" w:type="dxa"/>
              <w:right w:w="45" w:type="dxa"/>
            </w:tcMar>
          </w:tcPr>
          <w:p>
            <w:r>
              <w:rPr>
                <w:rFonts w:ascii="Times New Roman" w:hAnsi="Times New Roman"/>
                <w:sz w:val="14"/>
              </w:rPr>
              <w:t>Data harvesting and text mining</w:t>
            </w:r>
          </w:p>
        </w:tc>
        <w:tc>
          <w:tcPr>
            <w:tcW w:type="dxa" w:w="3480"/>
            <w:tcMar>
              <w:top w:w="25" w:type="dxa"/>
              <w:bottom w:w="25" w:type="dxa"/>
              <w:left w:w="45" w:type="dxa"/>
              <w:right w:w="45" w:type="dxa"/>
            </w:tcMar>
          </w:tcPr>
          <w:p>
            <w:r>
              <w:rPr>
                <w:rFonts w:ascii="Times New Roman" w:hAnsi="Times New Roman"/>
                <w:sz w:val="14"/>
              </w:rPr>
              <w:t>Zone scoring, haven discovery, emergency escalation</w:t>
            </w:r>
          </w:p>
        </w:tc>
      </w:tr>
      <w:tr>
        <w:tc>
          <w:tcPr>
            <w:tcW w:type="dxa" w:w="3480"/>
            <w:tcMar>
              <w:top w:w="25" w:type="dxa"/>
              <w:bottom w:w="25" w:type="dxa"/>
              <w:left w:w="45" w:type="dxa"/>
              <w:right w:w="45" w:type="dxa"/>
            </w:tcMar>
          </w:tcPr>
          <w:p>
            <w:r>
              <w:rPr>
                <w:rFonts w:ascii="Times New Roman" w:hAnsi="Times New Roman"/>
                <w:sz w:val="14"/>
              </w:rPr>
              <w:t>Safe routing [26]</w:t>
            </w:r>
          </w:p>
        </w:tc>
        <w:tc>
          <w:tcPr>
            <w:tcW w:type="dxa" w:w="3480"/>
            <w:tcMar>
              <w:top w:w="25" w:type="dxa"/>
              <w:bottom w:w="25" w:type="dxa"/>
              <w:left w:w="45" w:type="dxa"/>
              <w:right w:w="45" w:type="dxa"/>
            </w:tcMar>
          </w:tcPr>
          <w:p>
            <w:r>
              <w:rPr>
                <w:rFonts w:ascii="Times New Roman" w:hAnsi="Times New Roman"/>
                <w:sz w:val="14"/>
              </w:rPr>
              <w:t>Distance versus risk trade off</w:t>
            </w:r>
          </w:p>
        </w:tc>
        <w:tc>
          <w:tcPr>
            <w:tcW w:type="dxa" w:w="3480"/>
            <w:tcMar>
              <w:top w:w="25" w:type="dxa"/>
              <w:bottom w:w="25" w:type="dxa"/>
              <w:left w:w="45" w:type="dxa"/>
              <w:right w:w="45" w:type="dxa"/>
            </w:tcMar>
          </w:tcPr>
          <w:p>
            <w:r>
              <w:rPr>
                <w:rFonts w:ascii="Times New Roman" w:hAnsi="Times New Roman"/>
                <w:sz w:val="14"/>
              </w:rPr>
              <w:t>Haven discovery, dwell warnings, analyst oversight</w:t>
            </w:r>
          </w:p>
        </w:tc>
      </w:tr>
      <w:tr>
        <w:tc>
          <w:tcPr>
            <w:tcW w:type="dxa" w:w="3480"/>
            <w:tcMar>
              <w:top w:w="25" w:type="dxa"/>
              <w:bottom w:w="25" w:type="dxa"/>
              <w:left w:w="45" w:type="dxa"/>
              <w:right w:w="45" w:type="dxa"/>
            </w:tcMar>
          </w:tcPr>
          <w:p>
            <w:r>
              <w:rPr>
                <w:rFonts w:ascii="Times New Roman" w:hAnsi="Times New Roman"/>
                <w:sz w:val="14"/>
              </w:rPr>
              <w:t>Panic button apps [8]</w:t>
            </w:r>
          </w:p>
        </w:tc>
        <w:tc>
          <w:tcPr>
            <w:tcW w:type="dxa" w:w="3480"/>
            <w:tcMar>
              <w:top w:w="25" w:type="dxa"/>
              <w:bottom w:w="25" w:type="dxa"/>
              <w:left w:w="45" w:type="dxa"/>
              <w:right w:w="45" w:type="dxa"/>
            </w:tcMar>
          </w:tcPr>
          <w:p>
            <w:r>
              <w:rPr>
                <w:rFonts w:ascii="Times New Roman" w:hAnsi="Times New Roman"/>
                <w:sz w:val="14"/>
              </w:rPr>
              <w:t>Trigger plus location SMS</w:t>
            </w:r>
          </w:p>
        </w:tc>
        <w:tc>
          <w:tcPr>
            <w:tcW w:type="dxa" w:w="3480"/>
            <w:tcMar>
              <w:top w:w="25" w:type="dxa"/>
              <w:bottom w:w="25" w:type="dxa"/>
              <w:left w:w="45" w:type="dxa"/>
              <w:right w:w="45" w:type="dxa"/>
            </w:tcMar>
          </w:tcPr>
          <w:p>
            <w:r>
              <w:rPr>
                <w:rFonts w:ascii="Times New Roman" w:hAnsi="Times New Roman"/>
                <w:sz w:val="14"/>
              </w:rPr>
              <w:t>Area intelligence, automated dwell escalation, analytics</w:t>
            </w:r>
          </w:p>
        </w:tc>
      </w:tr>
    </w:tbl>
    <w:p>
      <w:pPr>
        <w:spacing w:before="0" w:after="40" w:line="247" w:lineRule="auto"/>
        <w:ind w:firstLine="202"/>
        <w:jc w:val="both"/>
      </w:pPr>
      <w:r>
        <w:rPr>
          <w:rFonts w:ascii="Times New Roman" w:hAnsi="Times New Roman"/>
          <w:sz w:val="20"/>
        </w:rPr>
        <w:t>Table I summarizes literature categories relative to CrimeSense. The overview identifies structural emphasis across domains rather than individual paper deficiencies.</w:t>
      </w:r>
    </w:p>
    <w:p>
      <w:pPr>
        <w:keepNext/>
        <w:spacing w:before="160" w:after="60"/>
        <w:jc w:val="center"/>
      </w:pPr>
      <w:r>
        <w:rPr>
          <w:rFonts w:ascii="Times New Roman" w:hAnsi="Times New Roman"/>
          <w:b w:val="0"/>
          <w:sz w:val="20"/>
        </w:rPr>
        <w:t>III. SYSTEM DESIGN</w:t>
      </w:r>
    </w:p>
    <w:p>
      <w:pPr>
        <w:keepNext/>
        <w:spacing w:before="120" w:after="40"/>
        <w:jc w:val="left"/>
      </w:pPr>
      <w:r>
        <w:rPr>
          <w:rFonts w:ascii="Times New Roman" w:hAnsi="Times New Roman"/>
          <w:i/>
          <w:sz w:val="19"/>
        </w:rPr>
        <w:t>A. Architecture Overview</w:t>
      </w:r>
    </w:p>
    <w:p>
      <w:pPr>
        <w:spacing w:before="0" w:after="40" w:line="247" w:lineRule="auto"/>
        <w:ind w:firstLine="202"/>
        <w:jc w:val="both"/>
      </w:pPr>
      <w:r>
        <w:rPr>
          <w:rFonts w:ascii="Times New Roman" w:hAnsi="Times New Roman"/>
          <w:sz w:val="20"/>
        </w:rPr>
        <w:t>CrimeSense comprises a client layer, API routing layer, service layer, single relational data store, and an offline ingestion pipeline (Fig. 1). The client layer deploys two interfaces from one codebase: a mobile resident application and a desktop analyst console. Both interface with a Flask REST API enforcing role checks, verifying Google OAuth ID tokens, and logging sensitive queries. All operational modules interact with a single SQLite database in Write Ahead Logging mode.</w:t>
      </w:r>
    </w:p>
    <w:p>
      <w:pPr>
        <w:keepNext/>
        <w:spacing w:before="80" w:after="40"/>
        <w:jc w:val="center"/>
      </w:pPr>
      <w:r>
        <w:drawing>
          <wp:inline xmlns:a="http://schemas.openxmlformats.org/drawingml/2006/main" xmlns:pic="http://schemas.openxmlformats.org/drawingml/2006/picture">
            <wp:extent cx="3063240" cy="1979324"/>
            <wp:docPr id="1" name="Picture 1"/>
            <wp:cNvGraphicFramePr>
              <a:graphicFrameLocks noChangeAspect="1"/>
            </wp:cNvGraphicFramePr>
            <a:graphic>
              <a:graphicData uri="http://schemas.openxmlformats.org/drawingml/2006/picture">
                <pic:pic>
                  <pic:nvPicPr>
                    <pic:cNvPr id="0" name="fig1_architecture.png"/>
                    <pic:cNvPicPr/>
                  </pic:nvPicPr>
                  <pic:blipFill>
                    <a:blip r:embed="rId9"/>
                    <a:stretch>
                      <a:fillRect/>
                    </a:stretch>
                  </pic:blipFill>
                  <pic:spPr>
                    <a:xfrm>
                      <a:off x="0" y="0"/>
                      <a:ext cx="3063240" cy="1979324"/>
                    </a:xfrm>
                    <a:prstGeom prst="rect"/>
                  </pic:spPr>
                </pic:pic>
              </a:graphicData>
            </a:graphic>
          </wp:inline>
        </w:drawing>
      </w:r>
    </w:p>
    <w:p>
      <w:pPr>
        <w:spacing w:before="0" w:after="100" w:line="240" w:lineRule="auto"/>
        <w:jc w:val="left"/>
      </w:pPr>
      <w:r>
        <w:rPr>
          <w:rFonts w:ascii="Times New Roman" w:hAnsi="Times New Roman"/>
          <w:b w:val="0"/>
          <w:sz w:val="16"/>
        </w:rPr>
        <w:t xml:space="preserve">Fig. 1. </w:t>
      </w:r>
      <w:r>
        <w:rPr>
          <w:rFonts w:ascii="Times New Roman" w:hAnsi="Times New Roman"/>
          <w:sz w:val="16"/>
        </w:rPr>
        <w:t>Layered architecture of CrimeSense. Dashed boxes are proposed modules; solid boxes are implemented.</w:t>
      </w:r>
    </w:p>
    <w:p>
      <w:pPr>
        <w:keepNext/>
        <w:spacing w:before="120" w:after="40"/>
        <w:jc w:val="left"/>
      </w:pPr>
      <w:r>
        <w:rPr>
          <w:rFonts w:ascii="Times New Roman" w:hAnsi="Times New Roman"/>
          <w:i/>
          <w:sz w:val="19"/>
        </w:rPr>
        <w:t>B. Data Acquisition, Schema, and Role Separation</w:t>
      </w:r>
    </w:p>
    <w:p>
      <w:pPr>
        <w:spacing w:before="0" w:after="40" w:line="247" w:lineRule="auto"/>
        <w:ind w:firstLine="202"/>
        <w:jc w:val="both"/>
      </w:pPr>
      <w:r>
        <w:rPr>
          <w:rFonts w:ascii="Times New Roman" w:hAnsi="Times New Roman"/>
          <w:sz w:val="20"/>
        </w:rPr>
        <w:t>Incident records originate from verified journalistic news outlets. The offline pipeline normalizes crime types, removes duplicate coverage, geocodes localities, assigns severity ratings, and exports records for database ingestion. The crimes table preserves source URLs, location confidence, and location source tags to ensure full auditability. Administrator entered incidents write to the same table and generate audit entries.</w:t>
      </w:r>
    </w:p>
    <w:p>
      <w:pPr>
        <w:spacing w:before="0" w:after="40" w:line="247" w:lineRule="auto"/>
        <w:ind w:firstLine="202"/>
        <w:jc w:val="both"/>
      </w:pPr>
      <w:r>
        <w:rPr>
          <w:rFonts w:ascii="Times New Roman" w:hAnsi="Times New Roman"/>
          <w:sz w:val="20"/>
        </w:rPr>
        <w:t>The remaining tables track user accounts and activity (Fig. 2). User rows store names, unique emails, password hashes, optional Google identifiers, roles, and status flags. User settings, SOS contacts, saved locations, location heartbeats, red zone monitoring states, and SOS alerts reference user records via foreign keys. Role enforcement ensures residents access only their own rows, while administrator routes reject unauthorized requests.</w:t>
      </w:r>
    </w:p>
    <w:p>
      <w:pPr>
        <w:keepNext/>
        <w:spacing w:before="80" w:after="40"/>
        <w:jc w:val="center"/>
      </w:pPr>
      <w:r>
        <w:drawing>
          <wp:inline xmlns:a="http://schemas.openxmlformats.org/drawingml/2006/main" xmlns:pic="http://schemas.openxmlformats.org/drawingml/2006/picture">
            <wp:extent cx="3063240" cy="1790817"/>
            <wp:docPr id="2" name="Picture 2"/>
            <wp:cNvGraphicFramePr>
              <a:graphicFrameLocks noChangeAspect="1"/>
            </wp:cNvGraphicFramePr>
            <a:graphic>
              <a:graphicData uri="http://schemas.openxmlformats.org/drawingml/2006/picture">
                <pic:pic>
                  <pic:nvPicPr>
                    <pic:cNvPr id="0" name="fig2_schema.png"/>
                    <pic:cNvPicPr/>
                  </pic:nvPicPr>
                  <pic:blipFill>
                    <a:blip r:embed="rId10"/>
                    <a:stretch>
                      <a:fillRect/>
                    </a:stretch>
                  </pic:blipFill>
                  <pic:spPr>
                    <a:xfrm>
                      <a:off x="0" y="0"/>
                      <a:ext cx="3063240" cy="1790817"/>
                    </a:xfrm>
                    <a:prstGeom prst="rect"/>
                  </pic:spPr>
                </pic:pic>
              </a:graphicData>
            </a:graphic>
          </wp:inline>
        </w:drawing>
      </w:r>
    </w:p>
    <w:p>
      <w:pPr>
        <w:spacing w:before="0" w:after="100" w:line="240" w:lineRule="auto"/>
        <w:jc w:val="left"/>
      </w:pPr>
      <w:r>
        <w:rPr>
          <w:rFonts w:ascii="Times New Roman" w:hAnsi="Times New Roman"/>
          <w:b w:val="0"/>
          <w:sz w:val="16"/>
        </w:rPr>
        <w:t xml:space="preserve">Fig. 2. </w:t>
      </w:r>
      <w:r>
        <w:rPr>
          <w:rFonts w:ascii="Times New Roman" w:hAnsi="Times New Roman"/>
          <w:sz w:val="16"/>
        </w:rPr>
        <w:t>Database schema. Child tables reference users.id; crimes is independent of any user.</w:t>
      </w:r>
    </w:p>
    <w:p>
      <w:pPr>
        <w:keepNext/>
        <w:spacing w:before="120" w:after="40"/>
        <w:jc w:val="left"/>
      </w:pPr>
      <w:r>
        <w:rPr>
          <w:rFonts w:ascii="Times New Roman" w:hAnsi="Times New Roman"/>
          <w:i/>
          <w:sz w:val="19"/>
        </w:rPr>
        <w:t>C. Zone Classification (Green, Yellow, Red)</w:t>
      </w:r>
    </w:p>
    <w:p>
      <w:pPr>
        <w:spacing w:before="0" w:after="40" w:line="247" w:lineRule="auto"/>
        <w:ind w:firstLine="202"/>
        <w:jc w:val="both"/>
      </w:pPr>
      <w:r>
        <w:rPr>
          <w:rFonts w:ascii="Times New Roman" w:hAnsi="Times New Roman"/>
          <w:sz w:val="20"/>
        </w:rPr>
        <w:t>The zone service evaluates crime exposure for any query coordinate q (GPS fix, search address, or manual coordinate input). Fig. 3 depicts the pipeline. An initial bounding box filter narrows candidate incidents, followed by great circle distance computation using the Haversine formula [33]:</w:t>
      </w:r>
    </w:p>
    <w:p>
      <w:pPr>
        <w:spacing w:before="40" w:after="40"/>
        <w:jc w:val="both"/>
      </w:pPr>
      <w:r>
        <w:rPr>
          <w:rFonts w:ascii="Times New Roman" w:hAnsi="Times New Roman"/>
          <w:i/>
          <w:sz w:val="18"/>
        </w:rPr>
        <w:t xml:space="preserve">   d = 2R arcsin √( sin²(Δφ/2) + cos φ₁ cos φ₂ sin²(Δλ/2) )</w:t>
      </w:r>
      <w:r>
        <w:rPr>
          <w:rFonts w:ascii="Times New Roman" w:hAnsi="Times New Roman"/>
          <w:i w:val="0"/>
          <w:sz w:val="18"/>
        </w:rPr>
        <w:tab/>
        <w:t>(1)</w:t>
      </w:r>
    </w:p>
    <w:p>
      <w:pPr>
        <w:spacing w:before="0" w:after="40" w:line="247" w:lineRule="auto"/>
        <w:ind w:firstLine="202"/>
        <w:jc w:val="both"/>
      </w:pPr>
      <w:r>
        <w:rPr>
          <w:rFonts w:ascii="Times New Roman" w:hAnsi="Times New Roman"/>
          <w:sz w:val="20"/>
        </w:rPr>
        <w:t>with R = 6371 km. For incidents within search radius ρ, each record i contributes based on severity s_i, distance d_i, and age a_i. Raw risk is formulated as:</w:t>
      </w:r>
    </w:p>
    <w:p>
      <w:pPr>
        <w:spacing w:before="40" w:after="40"/>
        <w:jc w:val="both"/>
      </w:pPr>
      <w:r>
        <w:rPr>
          <w:rFonts w:ascii="Times New Roman" w:hAnsi="Times New Roman"/>
          <w:i/>
          <w:sz w:val="18"/>
        </w:rPr>
        <w:t xml:space="preserve">   R(q) = Σ_{i ∈ N(q)} s_i · δ(d_i) · w(a_i),   δ(d) = 1 − d/ρ</w:t>
      </w:r>
      <w:r>
        <w:rPr>
          <w:rFonts w:ascii="Times New Roman" w:hAnsi="Times New Roman"/>
          <w:i w:val="0"/>
          <w:sz w:val="18"/>
        </w:rPr>
        <w:tab/>
        <w:t>(2)</w:t>
      </w:r>
    </w:p>
    <w:p>
      <w:pPr>
        <w:spacing w:before="0" w:after="40" w:line="247" w:lineRule="auto"/>
        <w:ind w:firstLine="202"/>
        <w:jc w:val="both"/>
      </w:pPr>
      <w:r>
        <w:rPr>
          <w:rFonts w:ascii="Times New Roman" w:hAnsi="Times New Roman"/>
          <w:sz w:val="20"/>
        </w:rPr>
        <w:t>where w(a) is a recency weight declining with age (1.0 for ≤6 months, 0.7 for 6–24 months, 0.4 for &gt;24 months). The risk score is bounded against saturation constant R_ref:</w:t>
      </w:r>
    </w:p>
    <w:p>
      <w:pPr>
        <w:spacing w:before="40" w:after="40"/>
        <w:jc w:val="both"/>
      </w:pPr>
      <w:r>
        <w:rPr>
          <w:rFonts w:ascii="Times New Roman" w:hAnsi="Times New Roman"/>
          <w:i/>
          <w:sz w:val="18"/>
        </w:rPr>
        <w:t xml:space="preserve">   Z(q) = min{100, 100 · R(q) / R_ref}</w:t>
      </w:r>
      <w:r>
        <w:rPr>
          <w:rFonts w:ascii="Times New Roman" w:hAnsi="Times New Roman"/>
          <w:i w:val="0"/>
          <w:sz w:val="18"/>
        </w:rPr>
        <w:tab/>
        <w:t>(3)</w:t>
      </w:r>
    </w:p>
    <w:p>
      <w:pPr>
        <w:spacing w:before="0" w:after="40" w:line="247" w:lineRule="auto"/>
        <w:ind w:firstLine="202"/>
        <w:jc w:val="both"/>
      </w:pPr>
      <w:r>
        <w:rPr>
          <w:rFonts w:ascii="Times New Roman" w:hAnsi="Times New Roman"/>
          <w:sz w:val="20"/>
        </w:rPr>
        <w:t>and mapped into three zones (Table II). When no incidents exist within radius ρ, the service returns green with a low data confidence flag, ensuring empty coverage is never interpreted as verified safety. The response payload reports incident counts, dominant crime types, the nearest report, and original source links.</w:t>
      </w:r>
    </w:p>
    <w:p>
      <w:pPr>
        <w:keepNext/>
        <w:spacing w:before="80" w:after="40"/>
        <w:jc w:val="center"/>
      </w:pPr>
      <w:r>
        <w:drawing>
          <wp:inline xmlns:a="http://schemas.openxmlformats.org/drawingml/2006/main" xmlns:pic="http://schemas.openxmlformats.org/drawingml/2006/picture">
            <wp:extent cx="3063240" cy="1976284"/>
            <wp:docPr id="3" name="Picture 3"/>
            <wp:cNvGraphicFramePr>
              <a:graphicFrameLocks noChangeAspect="1"/>
            </wp:cNvGraphicFramePr>
            <a:graphic>
              <a:graphicData uri="http://schemas.openxmlformats.org/drawingml/2006/picture">
                <pic:pic>
                  <pic:nvPicPr>
                    <pic:cNvPr id="0" name="fig3_zone_pipeline.png"/>
                    <pic:cNvPicPr/>
                  </pic:nvPicPr>
                  <pic:blipFill>
                    <a:blip r:embed="rId11"/>
                    <a:stretch>
                      <a:fillRect/>
                    </a:stretch>
                  </pic:blipFill>
                  <pic:spPr>
                    <a:xfrm>
                      <a:off x="0" y="0"/>
                      <a:ext cx="3063240" cy="1976284"/>
                    </a:xfrm>
                    <a:prstGeom prst="rect"/>
                  </pic:spPr>
                </pic:pic>
              </a:graphicData>
            </a:graphic>
          </wp:inline>
        </w:drawing>
      </w:r>
    </w:p>
    <w:p>
      <w:pPr>
        <w:spacing w:before="0" w:after="100" w:line="240" w:lineRule="auto"/>
        <w:jc w:val="left"/>
      </w:pPr>
      <w:r>
        <w:rPr>
          <w:rFonts w:ascii="Times New Roman" w:hAnsi="Times New Roman"/>
          <w:b w:val="0"/>
          <w:sz w:val="16"/>
        </w:rPr>
        <w:t xml:space="preserve">Fig. 3. </w:t>
      </w:r>
      <w:r>
        <w:rPr>
          <w:rFonts w:ascii="Times New Roman" w:hAnsi="Times New Roman"/>
          <w:sz w:val="16"/>
        </w:rPr>
        <w:t>Zone classification pipeline for a query point.</w:t>
      </w:r>
    </w:p>
    <w:p>
      <w:pPr>
        <w:keepNext/>
        <w:spacing w:before="120" w:after="20"/>
        <w:jc w:val="center"/>
      </w:pPr>
      <w:r>
        <w:rPr>
          <w:rFonts w:ascii="Times New Roman" w:hAnsi="Times New Roman"/>
          <w:sz w:val="16"/>
        </w:rPr>
        <w:t>TABLE II</w:t>
      </w:r>
    </w:p>
    <w:p>
      <w:pPr>
        <w:keepNext/>
        <w:spacing w:before="0" w:after="60"/>
        <w:jc w:val="center"/>
      </w:pPr>
      <w:r>
        <w:rPr>
          <w:rFonts w:ascii="Times New Roman" w:hAnsi="Times New Roman"/>
          <w:sz w:val="15"/>
        </w:rPr>
        <w:t>ZONE MODEL PARAMETERS (DESIGN DEFAULTS)</w:t>
      </w:r>
    </w:p>
    <w:tbl>
      <w:tblPr>
        <w:tblW w:type="auto" w:w="0"/>
        <w:tblLook w:firstColumn="1" w:firstRow="1" w:lastColumn="0" w:lastRow="0" w:noHBand="0" w:noVBand="1" w:val="04A0"/>
        <w:tblBorders>
          <w:top w:val="single" w:sz="6" w:space="0" w:color="000000"/>
          <w:bottom w:val="single" w:sz="6" w:space="0" w:color="000000"/>
          <w:insideH w:val="single" w:sz="4" w:space="0" w:color="000000"/>
          <w:insideV w:val="none"/>
          <w:left w:val="none"/>
          <w:right w:val="none"/>
        </w:tblBorders>
      </w:tblPr>
      <w:tblGrid>
        <w:gridCol w:w="3480"/>
        <w:gridCol w:w="3480"/>
        <w:gridCol w:w="3480"/>
      </w:tblGrid>
      <w:tr>
        <w:tc>
          <w:tcPr>
            <w:tcW w:type="dxa" w:w="3480"/>
            <w:tcMar>
              <w:top w:w="30" w:type="dxa"/>
              <w:bottom w:w="30" w:type="dxa"/>
              <w:left w:w="50" w:type="dxa"/>
              <w:right w:w="50" w:type="dxa"/>
            </w:tcMar>
          </w:tcPr>
          <w:p>
            <w:r>
              <w:rPr>
                <w:rFonts w:ascii="Times New Roman" w:hAnsi="Times New Roman"/>
                <w:b/>
                <w:sz w:val="15"/>
              </w:rPr>
              <w:t>Parameter</w:t>
            </w:r>
          </w:p>
        </w:tc>
        <w:tc>
          <w:tcPr>
            <w:tcW w:type="dxa" w:w="3480"/>
            <w:tcMar>
              <w:top w:w="30" w:type="dxa"/>
              <w:bottom w:w="30" w:type="dxa"/>
              <w:left w:w="50" w:type="dxa"/>
              <w:right w:w="50" w:type="dxa"/>
            </w:tcMar>
          </w:tcPr>
          <w:p>
            <w:r>
              <w:rPr>
                <w:rFonts w:ascii="Times New Roman" w:hAnsi="Times New Roman"/>
                <w:b/>
                <w:sz w:val="15"/>
              </w:rPr>
              <w:t>Symbol</w:t>
            </w:r>
          </w:p>
        </w:tc>
        <w:tc>
          <w:tcPr>
            <w:tcW w:type="dxa" w:w="3480"/>
            <w:tcMar>
              <w:top w:w="30" w:type="dxa"/>
              <w:bottom w:w="30" w:type="dxa"/>
              <w:left w:w="50" w:type="dxa"/>
              <w:right w:w="50" w:type="dxa"/>
            </w:tcMar>
          </w:tcPr>
          <w:p>
            <w:r>
              <w:rPr>
                <w:rFonts w:ascii="Times New Roman" w:hAnsi="Times New Roman"/>
                <w:b/>
                <w:sz w:val="15"/>
              </w:rPr>
              <w:t>Default Rule</w:t>
            </w:r>
          </w:p>
        </w:tc>
      </w:tr>
      <w:tr>
        <w:tc>
          <w:tcPr>
            <w:tcW w:type="dxa" w:w="3480"/>
            <w:tcMar>
              <w:top w:w="25" w:type="dxa"/>
              <w:bottom w:w="25" w:type="dxa"/>
              <w:left w:w="45" w:type="dxa"/>
              <w:right w:w="45" w:type="dxa"/>
            </w:tcMar>
          </w:tcPr>
          <w:p>
            <w:r>
              <w:rPr>
                <w:rFonts w:ascii="Times New Roman" w:hAnsi="Times New Roman"/>
                <w:sz w:val="14"/>
              </w:rPr>
              <w:t>Search radius</w:t>
            </w:r>
          </w:p>
        </w:tc>
        <w:tc>
          <w:tcPr>
            <w:tcW w:type="dxa" w:w="3480"/>
            <w:tcMar>
              <w:top w:w="25" w:type="dxa"/>
              <w:bottom w:w="25" w:type="dxa"/>
              <w:left w:w="45" w:type="dxa"/>
              <w:right w:w="45" w:type="dxa"/>
            </w:tcMar>
          </w:tcPr>
          <w:p>
            <w:r>
              <w:rPr>
                <w:rFonts w:ascii="Times New Roman" w:hAnsi="Times New Roman"/>
                <w:sz w:val="14"/>
              </w:rPr>
              <w:t>ρ</w:t>
            </w:r>
          </w:p>
        </w:tc>
        <w:tc>
          <w:tcPr>
            <w:tcW w:type="dxa" w:w="3480"/>
            <w:tcMar>
              <w:top w:w="25" w:type="dxa"/>
              <w:bottom w:w="25" w:type="dxa"/>
              <w:left w:w="45" w:type="dxa"/>
              <w:right w:w="45" w:type="dxa"/>
            </w:tcMar>
          </w:tcPr>
          <w:p>
            <w:r>
              <w:rPr>
                <w:rFonts w:ascii="Times New Roman" w:hAnsi="Times New Roman"/>
                <w:sz w:val="14"/>
              </w:rPr>
              <w:t>1000 m (user configurable 500–1000 m)</w:t>
            </w:r>
          </w:p>
        </w:tc>
      </w:tr>
      <w:tr>
        <w:tc>
          <w:tcPr>
            <w:tcW w:type="dxa" w:w="3480"/>
            <w:tcMar>
              <w:top w:w="25" w:type="dxa"/>
              <w:bottom w:w="25" w:type="dxa"/>
              <w:left w:w="45" w:type="dxa"/>
              <w:right w:w="45" w:type="dxa"/>
            </w:tcMar>
          </w:tcPr>
          <w:p>
            <w:r>
              <w:rPr>
                <w:rFonts w:ascii="Times New Roman" w:hAnsi="Times New Roman"/>
                <w:sz w:val="14"/>
              </w:rPr>
              <w:t>Severity score</w:t>
            </w:r>
          </w:p>
        </w:tc>
        <w:tc>
          <w:tcPr>
            <w:tcW w:type="dxa" w:w="3480"/>
            <w:tcMar>
              <w:top w:w="25" w:type="dxa"/>
              <w:bottom w:w="25" w:type="dxa"/>
              <w:left w:w="45" w:type="dxa"/>
              <w:right w:w="45" w:type="dxa"/>
            </w:tcMar>
          </w:tcPr>
          <w:p>
            <w:r>
              <w:rPr>
                <w:rFonts w:ascii="Times New Roman" w:hAnsi="Times New Roman"/>
                <w:sz w:val="14"/>
              </w:rPr>
              <w:t>s</w:t>
            </w:r>
          </w:p>
        </w:tc>
        <w:tc>
          <w:tcPr>
            <w:tcW w:type="dxa" w:w="3480"/>
            <w:tcMar>
              <w:top w:w="25" w:type="dxa"/>
              <w:bottom w:w="25" w:type="dxa"/>
              <w:left w:w="45" w:type="dxa"/>
              <w:right w:w="45" w:type="dxa"/>
            </w:tcMar>
          </w:tcPr>
          <w:p>
            <w:r>
              <w:rPr>
                <w:rFonts w:ascii="Times New Roman" w:hAnsi="Times New Roman"/>
                <w:sz w:val="14"/>
              </w:rPr>
              <w:t>2–10 from crime classification lookup</w:t>
            </w:r>
          </w:p>
        </w:tc>
      </w:tr>
      <w:tr>
        <w:tc>
          <w:tcPr>
            <w:tcW w:type="dxa" w:w="3480"/>
            <w:tcMar>
              <w:top w:w="25" w:type="dxa"/>
              <w:bottom w:w="25" w:type="dxa"/>
              <w:left w:w="45" w:type="dxa"/>
              <w:right w:w="45" w:type="dxa"/>
            </w:tcMar>
          </w:tcPr>
          <w:p>
            <w:r>
              <w:rPr>
                <w:rFonts w:ascii="Times New Roman" w:hAnsi="Times New Roman"/>
                <w:sz w:val="14"/>
              </w:rPr>
              <w:t>Distance decay</w:t>
            </w:r>
          </w:p>
        </w:tc>
        <w:tc>
          <w:tcPr>
            <w:tcW w:type="dxa" w:w="3480"/>
            <w:tcMar>
              <w:top w:w="25" w:type="dxa"/>
              <w:bottom w:w="25" w:type="dxa"/>
              <w:left w:w="45" w:type="dxa"/>
              <w:right w:w="45" w:type="dxa"/>
            </w:tcMar>
          </w:tcPr>
          <w:p>
            <w:r>
              <w:rPr>
                <w:rFonts w:ascii="Times New Roman" w:hAnsi="Times New Roman"/>
                <w:sz w:val="14"/>
              </w:rPr>
              <w:t>δ(d)</w:t>
            </w:r>
          </w:p>
        </w:tc>
        <w:tc>
          <w:tcPr>
            <w:tcW w:type="dxa" w:w="3480"/>
            <w:tcMar>
              <w:top w:w="25" w:type="dxa"/>
              <w:bottom w:w="25" w:type="dxa"/>
              <w:left w:w="45" w:type="dxa"/>
              <w:right w:w="45" w:type="dxa"/>
            </w:tcMar>
          </w:tcPr>
          <w:p>
            <w:r>
              <w:rPr>
                <w:rFonts w:ascii="Times New Roman" w:hAnsi="Times New Roman"/>
                <w:sz w:val="14"/>
              </w:rPr>
              <w:t>1 − d/ρ</w:t>
            </w:r>
          </w:p>
        </w:tc>
      </w:tr>
      <w:tr>
        <w:tc>
          <w:tcPr>
            <w:tcW w:type="dxa" w:w="3480"/>
            <w:tcMar>
              <w:top w:w="25" w:type="dxa"/>
              <w:bottom w:w="25" w:type="dxa"/>
              <w:left w:w="45" w:type="dxa"/>
              <w:right w:w="45" w:type="dxa"/>
            </w:tcMar>
          </w:tcPr>
          <w:p>
            <w:r>
              <w:rPr>
                <w:rFonts w:ascii="Times New Roman" w:hAnsi="Times New Roman"/>
                <w:sz w:val="14"/>
              </w:rPr>
              <w:t>Recency weight</w:t>
            </w:r>
          </w:p>
        </w:tc>
        <w:tc>
          <w:tcPr>
            <w:tcW w:type="dxa" w:w="3480"/>
            <w:tcMar>
              <w:top w:w="25" w:type="dxa"/>
              <w:bottom w:w="25" w:type="dxa"/>
              <w:left w:w="45" w:type="dxa"/>
              <w:right w:w="45" w:type="dxa"/>
            </w:tcMar>
          </w:tcPr>
          <w:p>
            <w:r>
              <w:rPr>
                <w:rFonts w:ascii="Times New Roman" w:hAnsi="Times New Roman"/>
                <w:sz w:val="14"/>
              </w:rPr>
              <w:t>w(a)</w:t>
            </w:r>
          </w:p>
        </w:tc>
        <w:tc>
          <w:tcPr>
            <w:tcW w:type="dxa" w:w="3480"/>
            <w:tcMar>
              <w:top w:w="25" w:type="dxa"/>
              <w:bottom w:w="25" w:type="dxa"/>
              <w:left w:w="45" w:type="dxa"/>
              <w:right w:w="45" w:type="dxa"/>
            </w:tcMar>
          </w:tcPr>
          <w:p>
            <w:r>
              <w:rPr>
                <w:rFonts w:ascii="Times New Roman" w:hAnsi="Times New Roman"/>
                <w:sz w:val="14"/>
              </w:rPr>
              <w:t>1.0 (≤6 mo); 0.7 (6–24 mo); 0.4 (&gt;24 mo)</w:t>
            </w:r>
          </w:p>
        </w:tc>
      </w:tr>
      <w:tr>
        <w:tc>
          <w:tcPr>
            <w:tcW w:type="dxa" w:w="3480"/>
            <w:tcMar>
              <w:top w:w="25" w:type="dxa"/>
              <w:bottom w:w="25" w:type="dxa"/>
              <w:left w:w="45" w:type="dxa"/>
              <w:right w:w="45" w:type="dxa"/>
            </w:tcMar>
          </w:tcPr>
          <w:p>
            <w:r>
              <w:rPr>
                <w:rFonts w:ascii="Times New Roman" w:hAnsi="Times New Roman"/>
                <w:sz w:val="14"/>
              </w:rPr>
              <w:t>Saturation cap</w:t>
            </w:r>
          </w:p>
        </w:tc>
        <w:tc>
          <w:tcPr>
            <w:tcW w:type="dxa" w:w="3480"/>
            <w:tcMar>
              <w:top w:w="25" w:type="dxa"/>
              <w:bottom w:w="25" w:type="dxa"/>
              <w:left w:w="45" w:type="dxa"/>
              <w:right w:w="45" w:type="dxa"/>
            </w:tcMar>
          </w:tcPr>
          <w:p>
            <w:r>
              <w:rPr>
                <w:rFonts w:ascii="Times New Roman" w:hAnsi="Times New Roman"/>
                <w:sz w:val="14"/>
              </w:rPr>
              <w:t>R_ref</w:t>
            </w:r>
          </w:p>
        </w:tc>
        <w:tc>
          <w:tcPr>
            <w:tcW w:type="dxa" w:w="3480"/>
            <w:tcMar>
              <w:top w:w="25" w:type="dxa"/>
              <w:bottom w:w="25" w:type="dxa"/>
              <w:left w:w="45" w:type="dxa"/>
              <w:right w:w="45" w:type="dxa"/>
            </w:tcMar>
          </w:tcPr>
          <w:p>
            <w:r>
              <w:rPr>
                <w:rFonts w:ascii="Times New Roman" w:hAnsi="Times New Roman"/>
                <w:sz w:val="14"/>
              </w:rPr>
              <w:t>To be calibrated (Section VI)</w:t>
            </w:r>
          </w:p>
        </w:tc>
      </w:tr>
      <w:tr>
        <w:tc>
          <w:tcPr>
            <w:tcW w:type="dxa" w:w="3480"/>
            <w:tcMar>
              <w:top w:w="25" w:type="dxa"/>
              <w:bottom w:w="25" w:type="dxa"/>
              <w:left w:w="45" w:type="dxa"/>
              <w:right w:w="45" w:type="dxa"/>
            </w:tcMar>
          </w:tcPr>
          <w:p>
            <w:r>
              <w:rPr>
                <w:rFonts w:ascii="Times New Roman" w:hAnsi="Times New Roman"/>
                <w:sz w:val="14"/>
              </w:rPr>
              <w:t>Zone cutoffs</w:t>
            </w:r>
          </w:p>
        </w:tc>
        <w:tc>
          <w:tcPr>
            <w:tcW w:type="dxa" w:w="3480"/>
            <w:tcMar>
              <w:top w:w="25" w:type="dxa"/>
              <w:bottom w:w="25" w:type="dxa"/>
              <w:left w:w="45" w:type="dxa"/>
              <w:right w:w="45" w:type="dxa"/>
            </w:tcMar>
          </w:tcPr>
          <w:p>
            <w:r>
              <w:rPr>
                <w:rFonts w:ascii="Times New Roman" w:hAnsi="Times New Roman"/>
                <w:sz w:val="14"/>
              </w:rPr>
              <w:t>Z</w:t>
            </w:r>
          </w:p>
        </w:tc>
        <w:tc>
          <w:tcPr>
            <w:tcW w:type="dxa" w:w="3480"/>
            <w:tcMar>
              <w:top w:w="25" w:type="dxa"/>
              <w:bottom w:w="25" w:type="dxa"/>
              <w:left w:w="45" w:type="dxa"/>
              <w:right w:w="45" w:type="dxa"/>
            </w:tcMar>
          </w:tcPr>
          <w:p>
            <w:r>
              <w:rPr>
                <w:rFonts w:ascii="Times New Roman" w:hAnsi="Times New Roman"/>
                <w:sz w:val="14"/>
              </w:rPr>
              <w:t>Red: ≥60; Yellow: 30 to &lt;60; Green: &lt;30</w:t>
            </w:r>
          </w:p>
        </w:tc>
      </w:tr>
    </w:tbl>
    <w:p>
      <w:pPr>
        <w:spacing w:before="0" w:after="40" w:line="247" w:lineRule="auto"/>
        <w:ind w:firstLine="202"/>
        <w:jc w:val="both"/>
      </w:pPr>
      <w:r>
        <w:rPr>
          <w:rFonts w:ascii="Times New Roman" w:hAnsi="Times New Roman"/>
          <w:sz w:val="20"/>
        </w:rPr>
        <w:t>Because news coordinates are locality level centroids, distance decay operates at neighborhood scales rather than precise building numbers. Severity scores stem from transparent type lookup tables, which Section VI calibrates against held out temporal splits.</w:t>
      </w:r>
    </w:p>
    <w:p>
      <w:pPr>
        <w:keepNext/>
        <w:spacing w:before="120" w:after="40"/>
        <w:jc w:val="left"/>
      </w:pPr>
      <w:r>
        <w:rPr>
          <w:rFonts w:ascii="Times New Roman" w:hAnsi="Times New Roman"/>
          <w:i/>
          <w:sz w:val="19"/>
        </w:rPr>
        <w:t>D. Hotspot Detection and Administrator Visualization</w:t>
      </w:r>
    </w:p>
    <w:p>
      <w:pPr>
        <w:spacing w:before="0" w:after="40" w:line="247" w:lineRule="auto"/>
        <w:ind w:firstLine="202"/>
        <w:jc w:val="both"/>
      </w:pPr>
      <w:r>
        <w:rPr>
          <w:rFonts w:ascii="Times New Roman" w:hAnsi="Times New Roman"/>
          <w:sz w:val="20"/>
        </w:rPr>
        <w:t>The analyst console provides severity categorized markers, density heatmaps, and multifaceted filtering across districts, localities, crime categories, and temporal spans. DBSCAN with Haversine distance [14], [34] calculates spatial clusters using neighborhood radius ε and minimum points m. In the current prototype, the active hotspot counter reflects the count of localities with at least one high severity incident, distinct from raw DBSCAN cluster counts.</w:t>
      </w:r>
    </w:p>
    <w:p>
      <w:pPr>
        <w:keepNext/>
        <w:spacing w:before="120" w:after="40"/>
        <w:jc w:val="left"/>
      </w:pPr>
      <w:r>
        <w:rPr>
          <w:rFonts w:ascii="Times New Roman" w:hAnsi="Times New Roman"/>
          <w:i/>
          <w:sz w:val="19"/>
        </w:rPr>
        <w:t>E. Pattern-Recurrence Analysis (Proposed)</w:t>
      </w:r>
    </w:p>
    <w:p>
      <w:pPr>
        <w:spacing w:before="0" w:after="40" w:line="247" w:lineRule="auto"/>
        <w:ind w:firstLine="202"/>
        <w:jc w:val="both"/>
      </w:pPr>
      <w:r>
        <w:rPr>
          <w:rFonts w:ascii="Times New Roman" w:hAnsi="Times New Roman"/>
          <w:sz w:val="20"/>
        </w:rPr>
        <w:t>To examine repeating spatial crime dynamics, CrimeSense defines three complementary analyses (Fig. 4). First, the Knox space time permutation test computes interaction statistic X for incident pairs (i, j):</w:t>
      </w:r>
    </w:p>
    <w:p>
      <w:pPr>
        <w:spacing w:before="40" w:after="40"/>
        <w:jc w:val="both"/>
      </w:pPr>
      <w:r>
        <w:rPr>
          <w:rFonts w:ascii="Times New Roman" w:hAnsi="Times New Roman"/>
          <w:i/>
          <w:sz w:val="18"/>
        </w:rPr>
        <w:t xml:space="preserve">   X = Σ_{i &lt; j} 1[d_ij ≤ Δs] · 1[|t_i − t_j| ≤ Δt]</w:t>
      </w:r>
      <w:r>
        <w:rPr>
          <w:rFonts w:ascii="Times New Roman" w:hAnsi="Times New Roman"/>
          <w:i w:val="0"/>
          <w:sz w:val="18"/>
        </w:rPr>
        <w:tab/>
        <w:t>(4)</w:t>
      </w:r>
    </w:p>
    <w:p>
      <w:pPr>
        <w:spacing w:before="0" w:after="40" w:line="247" w:lineRule="auto"/>
        <w:ind w:firstLine="202"/>
        <w:jc w:val="both"/>
      </w:pPr>
      <w:r>
        <w:rPr>
          <w:rFonts w:ascii="Times New Roman" w:hAnsi="Times New Roman"/>
          <w:sz w:val="20"/>
        </w:rPr>
        <w:t>evaluated over distance thresholds Δs ∈ {250, 500, 1000} m and time intervals Δt ∈ {7, 14, 30} days against 999 Monte Carlo date shuffles. Second, sequential association rules treat locality week bins as transactions, evaluating rule A → B via lift [35]:</w:t>
      </w:r>
    </w:p>
    <w:p>
      <w:pPr>
        <w:spacing w:before="40" w:after="40"/>
        <w:jc w:val="both"/>
      </w:pPr>
      <w:r>
        <w:rPr>
          <w:rFonts w:ascii="Times New Roman" w:hAnsi="Times New Roman"/>
          <w:i/>
          <w:sz w:val="18"/>
        </w:rPr>
        <w:t xml:space="preserve">   lift(A → B) = P(B | A) / P(B)</w:t>
      </w:r>
      <w:r>
        <w:rPr>
          <w:rFonts w:ascii="Times New Roman" w:hAnsi="Times New Roman"/>
          <w:i w:val="0"/>
          <w:sz w:val="18"/>
        </w:rPr>
        <w:tab/>
        <w:t>(5)</w:t>
      </w:r>
    </w:p>
    <w:p>
      <w:pPr>
        <w:spacing w:before="0" w:after="40" w:line="247" w:lineRule="auto"/>
        <w:ind w:firstLine="202"/>
        <w:jc w:val="both"/>
      </w:pPr>
      <w:r>
        <w:rPr>
          <w:rFonts w:ascii="Times New Roman" w:hAnsi="Times New Roman"/>
          <w:sz w:val="20"/>
        </w:rPr>
        <w:t>Third, the locality recurrence index measures the share of offenses in locality L of type T with an earlier occurrence within Δt:</w:t>
      </w:r>
    </w:p>
    <w:p>
      <w:pPr>
        <w:spacing w:before="40" w:after="40"/>
        <w:jc w:val="both"/>
      </w:pPr>
      <w:r>
        <w:rPr>
          <w:rFonts w:ascii="Times New Roman" w:hAnsi="Times New Roman"/>
          <w:i/>
          <w:sz w:val="18"/>
        </w:rPr>
        <w:t xml:space="preserve">   RI(L, T) = |{i ∈ I(L, T) : ∃ j, 0 &lt; t_i − t_j ≤ Δt}| / |I(L, T)|</w:t>
      </w:r>
      <w:r>
        <w:rPr>
          <w:rFonts w:ascii="Times New Roman" w:hAnsi="Times New Roman"/>
          <w:i w:val="0"/>
          <w:sz w:val="18"/>
        </w:rPr>
        <w:tab/>
        <w:t>(6)</w:t>
      </w:r>
    </w:p>
    <w:p>
      <w:pPr>
        <w:keepNext/>
        <w:spacing w:before="80" w:after="40"/>
        <w:jc w:val="center"/>
      </w:pPr>
      <w:r>
        <w:drawing>
          <wp:inline xmlns:a="http://schemas.openxmlformats.org/drawingml/2006/main" xmlns:pic="http://schemas.openxmlformats.org/drawingml/2006/picture">
            <wp:extent cx="3063240" cy="1778655"/>
            <wp:docPr id="4" name="Picture 4"/>
            <wp:cNvGraphicFramePr>
              <a:graphicFrameLocks noChangeAspect="1"/>
            </wp:cNvGraphicFramePr>
            <a:graphic>
              <a:graphicData uri="http://schemas.openxmlformats.org/drawingml/2006/picture">
                <pic:pic>
                  <pic:nvPicPr>
                    <pic:cNvPr id="0" name="fig4_recurrence.png"/>
                    <pic:cNvPicPr/>
                  </pic:nvPicPr>
                  <pic:blipFill>
                    <a:blip r:embed="rId12"/>
                    <a:stretch>
                      <a:fillRect/>
                    </a:stretch>
                  </pic:blipFill>
                  <pic:spPr>
                    <a:xfrm>
                      <a:off x="0" y="0"/>
                      <a:ext cx="3063240" cy="1778655"/>
                    </a:xfrm>
                    <a:prstGeom prst="rect"/>
                  </pic:spPr>
                </pic:pic>
              </a:graphicData>
            </a:graphic>
          </wp:inline>
        </w:drawing>
      </w:r>
    </w:p>
    <w:p>
      <w:pPr>
        <w:spacing w:before="0" w:after="100" w:line="240" w:lineRule="auto"/>
        <w:jc w:val="left"/>
      </w:pPr>
      <w:r>
        <w:rPr>
          <w:rFonts w:ascii="Times New Roman" w:hAnsi="Times New Roman"/>
          <w:b w:val="0"/>
          <w:sz w:val="16"/>
        </w:rPr>
        <w:t xml:space="preserve">Fig. 4. </w:t>
      </w:r>
      <w:r>
        <w:rPr>
          <w:rFonts w:ascii="Times New Roman" w:hAnsi="Times New Roman"/>
          <w:sz w:val="16"/>
        </w:rPr>
        <w:t>Proposed pattern recurrence analysis. All modules are proposed and unvalidated.</w:t>
      </w:r>
    </w:p>
    <w:p>
      <w:pPr>
        <w:keepNext/>
        <w:spacing w:before="120" w:after="40"/>
        <w:jc w:val="left"/>
      </w:pPr>
      <w:r>
        <w:rPr>
          <w:rFonts w:ascii="Times New Roman" w:hAnsi="Times New Roman"/>
          <w:i/>
          <w:sz w:val="19"/>
        </w:rPr>
        <w:t>F. Pre-Visit Advisory and Safe-Haven Finder (Proposed)</w:t>
      </w:r>
    </w:p>
    <w:p>
      <w:pPr>
        <w:spacing w:before="0" w:after="40" w:line="247" w:lineRule="auto"/>
        <w:ind w:firstLine="202"/>
        <w:jc w:val="both"/>
      </w:pPr>
      <w:r>
        <w:rPr>
          <w:rFonts w:ascii="Times New Roman" w:hAnsi="Times New Roman"/>
          <w:sz w:val="20"/>
        </w:rPr>
        <w:t>These modules power the resident application search bar and 'I Feel Unsafe' actions (Fig. 5). The pre-visit check turns local incident counts and dates into transparent advisory cards (Table III) using rule templates rather than ungrounded generative models, ensuring full citation back to source articles.</w:t>
      </w:r>
    </w:p>
    <w:p>
      <w:pPr>
        <w:keepNext/>
        <w:spacing w:before="80" w:after="40"/>
        <w:jc w:val="center"/>
      </w:pPr>
      <w:r>
        <w:drawing>
          <wp:inline xmlns:a="http://schemas.openxmlformats.org/drawingml/2006/main" xmlns:pic="http://schemas.openxmlformats.org/drawingml/2006/picture">
            <wp:extent cx="3063240" cy="1979324"/>
            <wp:docPr id="5" name="Picture 5"/>
            <wp:cNvGraphicFramePr>
              <a:graphicFrameLocks noChangeAspect="1"/>
            </wp:cNvGraphicFramePr>
            <a:graphic>
              <a:graphicData uri="http://schemas.openxmlformats.org/drawingml/2006/picture">
                <pic:pic>
                  <pic:nvPicPr>
                    <pic:cNvPr id="0" name="fig5_resident_flows.png"/>
                    <pic:cNvPicPr/>
                  </pic:nvPicPr>
                  <pic:blipFill>
                    <a:blip r:embed="rId13"/>
                    <a:stretch>
                      <a:fillRect/>
                    </a:stretch>
                  </pic:blipFill>
                  <pic:spPr>
                    <a:xfrm>
                      <a:off x="0" y="0"/>
                      <a:ext cx="3063240" cy="1979324"/>
                    </a:xfrm>
                    <a:prstGeom prst="rect"/>
                  </pic:spPr>
                </pic:pic>
              </a:graphicData>
            </a:graphic>
          </wp:inline>
        </w:drawing>
      </w:r>
    </w:p>
    <w:p>
      <w:pPr>
        <w:spacing w:before="0" w:after="100" w:line="240" w:lineRule="auto"/>
        <w:jc w:val="left"/>
      </w:pPr>
      <w:r>
        <w:rPr>
          <w:rFonts w:ascii="Times New Roman" w:hAnsi="Times New Roman"/>
          <w:b w:val="0"/>
          <w:sz w:val="16"/>
        </w:rPr>
        <w:t xml:space="preserve">Fig. 5. </w:t>
      </w:r>
      <w:r>
        <w:rPr>
          <w:rFonts w:ascii="Times New Roman" w:hAnsi="Times New Roman"/>
          <w:sz w:val="16"/>
        </w:rPr>
        <w:t>Resident side flows: (a) pre-visit check; (b) nearest haven search.</w:t>
      </w:r>
    </w:p>
    <w:p>
      <w:pPr>
        <w:keepNext/>
        <w:spacing w:before="120" w:after="20"/>
        <w:jc w:val="center"/>
      </w:pPr>
      <w:r>
        <w:rPr>
          <w:rFonts w:ascii="Times New Roman" w:hAnsi="Times New Roman"/>
          <w:sz w:val="16"/>
        </w:rPr>
        <w:t>TABLE III</w:t>
      </w:r>
    </w:p>
    <w:p>
      <w:pPr>
        <w:keepNext/>
        <w:spacing w:before="0" w:after="60"/>
        <w:jc w:val="center"/>
      </w:pPr>
      <w:r>
        <w:rPr>
          <w:rFonts w:ascii="Times New Roman" w:hAnsi="Times New Roman"/>
          <w:sz w:val="15"/>
        </w:rPr>
        <w:t>ADVISORY RULES (ZONE TO MESSAGE CONTENT)</w:t>
      </w:r>
    </w:p>
    <w:tbl>
      <w:tblPr>
        <w:tblW w:type="auto" w:w="0"/>
        <w:tblLook w:firstColumn="1" w:firstRow="1" w:lastColumn="0" w:lastRow="0" w:noHBand="0" w:noVBand="1" w:val="04A0"/>
        <w:tblBorders>
          <w:top w:val="single" w:sz="6" w:space="0" w:color="000000"/>
          <w:bottom w:val="single" w:sz="6" w:space="0" w:color="000000"/>
          <w:insideH w:val="single" w:sz="4" w:space="0" w:color="000000"/>
          <w:insideV w:val="none"/>
          <w:left w:val="none"/>
          <w:right w:val="none"/>
        </w:tblBorders>
      </w:tblPr>
      <w:tblGrid>
        <w:gridCol w:w="5220"/>
        <w:gridCol w:w="5220"/>
      </w:tblGrid>
      <w:tr>
        <w:tc>
          <w:tcPr>
            <w:tcW w:type="dxa" w:w="5220"/>
            <w:tcMar>
              <w:top w:w="30" w:type="dxa"/>
              <w:bottom w:w="30" w:type="dxa"/>
              <w:left w:w="50" w:type="dxa"/>
              <w:right w:w="50" w:type="dxa"/>
            </w:tcMar>
          </w:tcPr>
          <w:p>
            <w:r>
              <w:rPr>
                <w:rFonts w:ascii="Times New Roman" w:hAnsi="Times New Roman"/>
                <w:b/>
                <w:sz w:val="15"/>
              </w:rPr>
              <w:t>Condition</w:t>
            </w:r>
          </w:p>
        </w:tc>
        <w:tc>
          <w:tcPr>
            <w:tcW w:type="dxa" w:w="5220"/>
            <w:tcMar>
              <w:top w:w="30" w:type="dxa"/>
              <w:bottom w:w="30" w:type="dxa"/>
              <w:left w:w="50" w:type="dxa"/>
              <w:right w:w="50" w:type="dxa"/>
            </w:tcMar>
          </w:tcPr>
          <w:p>
            <w:r>
              <w:rPr>
                <w:rFonts w:ascii="Times New Roman" w:hAnsi="Times New Roman"/>
                <w:b/>
                <w:sz w:val="15"/>
              </w:rPr>
              <w:t>Advisory Content</w:t>
            </w:r>
          </w:p>
        </w:tc>
      </w:tr>
      <w:tr>
        <w:tc>
          <w:tcPr>
            <w:tcW w:type="dxa" w:w="5220"/>
            <w:tcMar>
              <w:top w:w="25" w:type="dxa"/>
              <w:bottom w:w="25" w:type="dxa"/>
              <w:left w:w="45" w:type="dxa"/>
              <w:right w:w="45" w:type="dxa"/>
            </w:tcMar>
          </w:tcPr>
          <w:p>
            <w:r>
              <w:rPr>
                <w:rFonts w:ascii="Times New Roman" w:hAnsi="Times New Roman"/>
                <w:sz w:val="14"/>
              </w:rPr>
              <w:t>Green, none in ρ</w:t>
            </w:r>
          </w:p>
        </w:tc>
        <w:tc>
          <w:tcPr>
            <w:tcW w:type="dxa" w:w="5220"/>
            <w:tcMar>
              <w:top w:w="25" w:type="dxa"/>
              <w:bottom w:w="25" w:type="dxa"/>
              <w:left w:w="45" w:type="dxa"/>
              <w:right w:w="45" w:type="dxa"/>
            </w:tcMar>
          </w:tcPr>
          <w:p>
            <w:r>
              <w:rPr>
                <w:rFonts w:ascii="Times New Roman" w:hAnsi="Times New Roman"/>
                <w:sz w:val="14"/>
              </w:rPr>
              <w:t>No reports within radius in dataset; coverage is limited; maintain standard precautions</w:t>
            </w:r>
          </w:p>
        </w:tc>
      </w:tr>
      <w:tr>
        <w:tc>
          <w:tcPr>
            <w:tcW w:type="dxa" w:w="5220"/>
            <w:tcMar>
              <w:top w:w="25" w:type="dxa"/>
              <w:bottom w:w="25" w:type="dxa"/>
              <w:left w:w="45" w:type="dxa"/>
              <w:right w:w="45" w:type="dxa"/>
            </w:tcMar>
          </w:tcPr>
          <w:p>
            <w:r>
              <w:rPr>
                <w:rFonts w:ascii="Times New Roman" w:hAnsi="Times New Roman"/>
                <w:sz w:val="14"/>
              </w:rPr>
              <w:t>Green, some in ρ</w:t>
            </w:r>
          </w:p>
        </w:tc>
        <w:tc>
          <w:tcPr>
            <w:tcW w:type="dxa" w:w="5220"/>
            <w:tcMar>
              <w:top w:w="25" w:type="dxa"/>
              <w:bottom w:w="25" w:type="dxa"/>
              <w:left w:w="45" w:type="dxa"/>
              <w:right w:w="45" w:type="dxa"/>
            </w:tcMar>
          </w:tcPr>
          <w:p>
            <w:r>
              <w:rPr>
                <w:rFonts w:ascii="Times New Roman" w:hAnsi="Times New Roman"/>
                <w:sz w:val="14"/>
              </w:rPr>
              <w:t>Few low severity reports; top types listed; standard precautions advised</w:t>
            </w:r>
          </w:p>
        </w:tc>
      </w:tr>
      <w:tr>
        <w:tc>
          <w:tcPr>
            <w:tcW w:type="dxa" w:w="5220"/>
            <w:tcMar>
              <w:top w:w="25" w:type="dxa"/>
              <w:bottom w:w="25" w:type="dxa"/>
              <w:left w:w="45" w:type="dxa"/>
              <w:right w:w="45" w:type="dxa"/>
            </w:tcMar>
          </w:tcPr>
          <w:p>
            <w:r>
              <w:rPr>
                <w:rFonts w:ascii="Times New Roman" w:hAnsi="Times New Roman"/>
                <w:sz w:val="14"/>
              </w:rPr>
              <w:t>Yellow</w:t>
            </w:r>
          </w:p>
        </w:tc>
        <w:tc>
          <w:tcPr>
            <w:tcW w:type="dxa" w:w="5220"/>
            <w:tcMar>
              <w:top w:w="25" w:type="dxa"/>
              <w:bottom w:w="25" w:type="dxa"/>
              <w:left w:w="45" w:type="dxa"/>
              <w:right w:w="45" w:type="dxa"/>
            </w:tcMar>
          </w:tcPr>
          <w:p>
            <w:r>
              <w:rPr>
                <w:rFonts w:ascii="Times New Roman" w:hAnsi="Times New Roman"/>
                <w:sz w:val="14"/>
              </w:rPr>
              <w:t>Moderate reports; prefer busy routes, avoid isolated stretches, notify a contact; haven links shown</w:t>
            </w:r>
          </w:p>
        </w:tc>
      </w:tr>
      <w:tr>
        <w:tc>
          <w:tcPr>
            <w:tcW w:type="dxa" w:w="5220"/>
            <w:tcMar>
              <w:top w:w="25" w:type="dxa"/>
              <w:bottom w:w="25" w:type="dxa"/>
              <w:left w:w="45" w:type="dxa"/>
              <w:right w:w="45" w:type="dxa"/>
            </w:tcMar>
          </w:tcPr>
          <w:p>
            <w:r>
              <w:rPr>
                <w:rFonts w:ascii="Times New Roman" w:hAnsi="Times New Roman"/>
                <w:sz w:val="14"/>
              </w:rPr>
              <w:t>Red</w:t>
            </w:r>
          </w:p>
        </w:tc>
        <w:tc>
          <w:tcPr>
            <w:tcW w:type="dxa" w:w="5220"/>
            <w:tcMar>
              <w:top w:w="25" w:type="dxa"/>
              <w:bottom w:w="25" w:type="dxa"/>
              <w:left w:w="45" w:type="dxa"/>
              <w:right w:w="45" w:type="dxa"/>
            </w:tcMar>
          </w:tcPr>
          <w:p>
            <w:r>
              <w:rPr>
                <w:rFonts w:ascii="Times New Roman" w:hAnsi="Times New Roman"/>
                <w:sz w:val="14"/>
              </w:rPr>
              <w:t>Concentration of severe reports; companion travel advised, prefer daylight; nearest haven displayed</w:t>
            </w:r>
          </w:p>
        </w:tc>
      </w:tr>
      <w:tr>
        <w:tc>
          <w:tcPr>
            <w:tcW w:type="dxa" w:w="5220"/>
            <w:tcMar>
              <w:top w:w="25" w:type="dxa"/>
              <w:bottom w:w="25" w:type="dxa"/>
              <w:left w:w="45" w:type="dxa"/>
              <w:right w:w="45" w:type="dxa"/>
            </w:tcMar>
          </w:tcPr>
          <w:p>
            <w:r>
              <w:rPr>
                <w:rFonts w:ascii="Times New Roman" w:hAnsi="Times New Roman"/>
                <w:sz w:val="14"/>
              </w:rPr>
              <w:t>Violent type in top 3</w:t>
            </w:r>
          </w:p>
        </w:tc>
        <w:tc>
          <w:tcPr>
            <w:tcW w:type="dxa" w:w="5220"/>
            <w:tcMar>
              <w:top w:w="25" w:type="dxa"/>
              <w:bottom w:w="25" w:type="dxa"/>
              <w:left w:w="45" w:type="dxa"/>
              <w:right w:w="45" w:type="dxa"/>
            </w:tcMar>
          </w:tcPr>
          <w:p>
            <w:r>
              <w:rPr>
                <w:rFonts w:ascii="Times New Roman" w:hAnsi="Times New Roman"/>
                <w:sz w:val="14"/>
              </w:rPr>
              <w:t>Appended note: traveling with a companion is strongly advised</w:t>
            </w:r>
          </w:p>
        </w:tc>
      </w:tr>
      <w:tr>
        <w:tc>
          <w:tcPr>
            <w:tcW w:type="dxa" w:w="5220"/>
            <w:tcMar>
              <w:top w:w="25" w:type="dxa"/>
              <w:bottom w:w="25" w:type="dxa"/>
              <w:left w:w="45" w:type="dxa"/>
              <w:right w:w="45" w:type="dxa"/>
            </w:tcMar>
          </w:tcPr>
          <w:p>
            <w:r>
              <w:rPr>
                <w:rFonts w:ascii="Times New Roman" w:hAnsi="Times New Roman"/>
                <w:sz w:val="14"/>
              </w:rPr>
              <w:t>Theft or fraud on top</w:t>
            </w:r>
          </w:p>
        </w:tc>
        <w:tc>
          <w:tcPr>
            <w:tcW w:type="dxa" w:w="5220"/>
            <w:tcMar>
              <w:top w:w="25" w:type="dxa"/>
              <w:bottom w:w="25" w:type="dxa"/>
              <w:left w:w="45" w:type="dxa"/>
              <w:right w:w="45" w:type="dxa"/>
            </w:tcMar>
          </w:tcPr>
          <w:p>
            <w:r>
              <w:rPr>
                <w:rFonts w:ascii="Times New Roman" w:hAnsi="Times New Roman"/>
                <w:sz w:val="14"/>
              </w:rPr>
              <w:t>Appended note: secure personal belongings; beware unsolicited payment requests</w:t>
            </w:r>
          </w:p>
        </w:tc>
      </w:tr>
    </w:tbl>
    <w:p>
      <w:pPr>
        <w:spacing w:before="0" w:after="40" w:line="247" w:lineRule="auto"/>
        <w:ind w:firstLine="202"/>
        <w:jc w:val="both"/>
      </w:pPr>
      <w:r>
        <w:rPr>
          <w:rFonts w:ascii="Times New Roman" w:hAnsi="Times New Roman"/>
          <w:sz w:val="20"/>
        </w:rPr>
        <w:t>In the haven flow, candidate public places within walking distance are extracted from OpenStreetMap (Table IV) and ranked by utility score H(p):</w:t>
      </w:r>
    </w:p>
    <w:p>
      <w:pPr>
        <w:spacing w:before="40" w:after="40"/>
        <w:jc w:val="both"/>
      </w:pPr>
      <w:r>
        <w:rPr>
          <w:rFonts w:ascii="Times New Roman" w:hAnsi="Times New Roman"/>
          <w:i/>
          <w:sz w:val="18"/>
        </w:rPr>
        <w:t xml:space="preserve">   H(p) = w_c · o(p, t) · exp(−d_p / λ) · (1 − Z_p / 100)</w:t>
      </w:r>
      <w:r>
        <w:rPr>
          <w:rFonts w:ascii="Times New Roman" w:hAnsi="Times New Roman"/>
          <w:i w:val="0"/>
          <w:sz w:val="18"/>
        </w:rPr>
        <w:tab/>
        <w:t>(7)</w:t>
      </w:r>
    </w:p>
    <w:p>
      <w:pPr>
        <w:spacing w:before="0" w:after="40" w:line="247" w:lineRule="auto"/>
        <w:ind w:firstLine="202"/>
        <w:jc w:val="both"/>
      </w:pPr>
      <w:r>
        <w:rPr>
          <w:rFonts w:ascii="Times New Roman" w:hAnsi="Times New Roman"/>
          <w:sz w:val="20"/>
        </w:rPr>
        <w:t>where w_c reflects institutional guardianship, o(p, t) is opening status (1.0 if open, 0.0 if closed, 0.5 if unknown), d_p is distance, λ = 500 m, and Z_p penalizes havens located inside crime hotspots. The top five havens are displayed with walking duration, call buttons, and navigation links.</w:t>
      </w:r>
    </w:p>
    <w:p>
      <w:pPr>
        <w:keepNext/>
        <w:spacing w:before="120" w:after="20"/>
        <w:jc w:val="center"/>
      </w:pPr>
      <w:r>
        <w:rPr>
          <w:rFonts w:ascii="Times New Roman" w:hAnsi="Times New Roman"/>
          <w:sz w:val="16"/>
        </w:rPr>
        <w:t>TABLE IV</w:t>
      </w:r>
    </w:p>
    <w:p>
      <w:pPr>
        <w:keepNext/>
        <w:spacing w:before="0" w:after="60"/>
        <w:jc w:val="center"/>
      </w:pPr>
      <w:r>
        <w:rPr>
          <w:rFonts w:ascii="Times New Roman" w:hAnsi="Times New Roman"/>
          <w:sz w:val="15"/>
        </w:rPr>
        <w:t>SAFE HAVEN CATEGORIES AND INITIAL WEIGHTS</w:t>
      </w:r>
    </w:p>
    <w:tbl>
      <w:tblPr>
        <w:tblW w:type="auto" w:w="0"/>
        <w:tblLook w:firstColumn="1" w:firstRow="1" w:lastColumn="0" w:lastRow="0" w:noHBand="0" w:noVBand="1" w:val="04A0"/>
        <w:tblBorders>
          <w:top w:val="single" w:sz="6" w:space="0" w:color="000000"/>
          <w:bottom w:val="single" w:sz="6" w:space="0" w:color="000000"/>
          <w:insideH w:val="single" w:sz="4" w:space="0" w:color="000000"/>
          <w:insideV w:val="none"/>
          <w:left w:val="none"/>
          <w:right w:val="none"/>
        </w:tblBorders>
      </w:tblPr>
      <w:tblGrid>
        <w:gridCol w:w="3480"/>
        <w:gridCol w:w="3480"/>
        <w:gridCol w:w="3480"/>
      </w:tblGrid>
      <w:tr>
        <w:tc>
          <w:tcPr>
            <w:tcW w:type="dxa" w:w="3480"/>
            <w:tcMar>
              <w:top w:w="30" w:type="dxa"/>
              <w:bottom w:w="30" w:type="dxa"/>
              <w:left w:w="50" w:type="dxa"/>
              <w:right w:w="50" w:type="dxa"/>
            </w:tcMar>
          </w:tcPr>
          <w:p>
            <w:r>
              <w:rPr>
                <w:rFonts w:ascii="Times New Roman" w:hAnsi="Times New Roman"/>
                <w:b/>
                <w:sz w:val="15"/>
              </w:rPr>
              <w:t>Category</w:t>
            </w:r>
          </w:p>
        </w:tc>
        <w:tc>
          <w:tcPr>
            <w:tcW w:type="dxa" w:w="3480"/>
            <w:tcMar>
              <w:top w:w="30" w:type="dxa"/>
              <w:bottom w:w="30" w:type="dxa"/>
              <w:left w:w="50" w:type="dxa"/>
              <w:right w:w="50" w:type="dxa"/>
            </w:tcMar>
          </w:tcPr>
          <w:p>
            <w:r>
              <w:rPr>
                <w:rFonts w:ascii="Times New Roman" w:hAnsi="Times New Roman"/>
                <w:b/>
                <w:sz w:val="15"/>
              </w:rPr>
              <w:t>OpenStreetMap Tag Example</w:t>
            </w:r>
          </w:p>
        </w:tc>
        <w:tc>
          <w:tcPr>
            <w:tcW w:type="dxa" w:w="3480"/>
            <w:tcMar>
              <w:top w:w="30" w:type="dxa"/>
              <w:bottom w:w="30" w:type="dxa"/>
              <w:left w:w="50" w:type="dxa"/>
              <w:right w:w="50" w:type="dxa"/>
            </w:tcMar>
          </w:tcPr>
          <w:p>
            <w:r>
              <w:rPr>
                <w:rFonts w:ascii="Times New Roman" w:hAnsi="Times New Roman"/>
                <w:b/>
                <w:sz w:val="15"/>
              </w:rPr>
              <w:t>Weight (w_c)</w:t>
            </w:r>
          </w:p>
        </w:tc>
      </w:tr>
      <w:tr>
        <w:tc>
          <w:tcPr>
            <w:tcW w:type="dxa" w:w="3480"/>
            <w:tcMar>
              <w:top w:w="25" w:type="dxa"/>
              <w:bottom w:w="25" w:type="dxa"/>
              <w:left w:w="45" w:type="dxa"/>
              <w:right w:w="45" w:type="dxa"/>
            </w:tcMar>
          </w:tcPr>
          <w:p>
            <w:r>
              <w:rPr>
                <w:rFonts w:ascii="Times New Roman" w:hAnsi="Times New Roman"/>
                <w:sz w:val="14"/>
              </w:rPr>
              <w:t>Police station</w:t>
            </w:r>
          </w:p>
        </w:tc>
        <w:tc>
          <w:tcPr>
            <w:tcW w:type="dxa" w:w="3480"/>
            <w:tcMar>
              <w:top w:w="25" w:type="dxa"/>
              <w:bottom w:w="25" w:type="dxa"/>
              <w:left w:w="45" w:type="dxa"/>
              <w:right w:w="45" w:type="dxa"/>
            </w:tcMar>
          </w:tcPr>
          <w:p>
            <w:r>
              <w:rPr>
                <w:rFonts w:ascii="Times New Roman" w:hAnsi="Times New Roman"/>
                <w:sz w:val="14"/>
              </w:rPr>
              <w:t>amenity=police</w:t>
            </w:r>
          </w:p>
        </w:tc>
        <w:tc>
          <w:tcPr>
            <w:tcW w:type="dxa" w:w="3480"/>
            <w:tcMar>
              <w:top w:w="25" w:type="dxa"/>
              <w:bottom w:w="25" w:type="dxa"/>
              <w:left w:w="45" w:type="dxa"/>
              <w:right w:w="45" w:type="dxa"/>
            </w:tcMar>
          </w:tcPr>
          <w:p>
            <w:r>
              <w:rPr>
                <w:rFonts w:ascii="Times New Roman" w:hAnsi="Times New Roman"/>
                <w:sz w:val="14"/>
              </w:rPr>
              <w:t>1.0</w:t>
            </w:r>
          </w:p>
        </w:tc>
      </w:tr>
      <w:tr>
        <w:tc>
          <w:tcPr>
            <w:tcW w:type="dxa" w:w="3480"/>
            <w:tcMar>
              <w:top w:w="25" w:type="dxa"/>
              <w:bottom w:w="25" w:type="dxa"/>
              <w:left w:w="45" w:type="dxa"/>
              <w:right w:w="45" w:type="dxa"/>
            </w:tcMar>
          </w:tcPr>
          <w:p>
            <w:r>
              <w:rPr>
                <w:rFonts w:ascii="Times New Roman" w:hAnsi="Times New Roman"/>
                <w:sz w:val="14"/>
              </w:rPr>
              <w:t>Hospital or clinic</w:t>
            </w:r>
          </w:p>
        </w:tc>
        <w:tc>
          <w:tcPr>
            <w:tcW w:type="dxa" w:w="3480"/>
            <w:tcMar>
              <w:top w:w="25" w:type="dxa"/>
              <w:bottom w:w="25" w:type="dxa"/>
              <w:left w:w="45" w:type="dxa"/>
              <w:right w:w="45" w:type="dxa"/>
            </w:tcMar>
          </w:tcPr>
          <w:p>
            <w:r>
              <w:rPr>
                <w:rFonts w:ascii="Times New Roman" w:hAnsi="Times New Roman"/>
                <w:sz w:val="14"/>
              </w:rPr>
              <w:t>amenity=hospital, clinic</w:t>
            </w:r>
          </w:p>
        </w:tc>
        <w:tc>
          <w:tcPr>
            <w:tcW w:type="dxa" w:w="3480"/>
            <w:tcMar>
              <w:top w:w="25" w:type="dxa"/>
              <w:bottom w:w="25" w:type="dxa"/>
              <w:left w:w="45" w:type="dxa"/>
              <w:right w:w="45" w:type="dxa"/>
            </w:tcMar>
          </w:tcPr>
          <w:p>
            <w:r>
              <w:rPr>
                <w:rFonts w:ascii="Times New Roman" w:hAnsi="Times New Roman"/>
                <w:sz w:val="14"/>
              </w:rPr>
              <w:t>0.9</w:t>
            </w:r>
          </w:p>
        </w:tc>
      </w:tr>
      <w:tr>
        <w:tc>
          <w:tcPr>
            <w:tcW w:type="dxa" w:w="3480"/>
            <w:tcMar>
              <w:top w:w="25" w:type="dxa"/>
              <w:bottom w:w="25" w:type="dxa"/>
              <w:left w:w="45" w:type="dxa"/>
              <w:right w:w="45" w:type="dxa"/>
            </w:tcMar>
          </w:tcPr>
          <w:p>
            <w:r>
              <w:rPr>
                <w:rFonts w:ascii="Times New Roman" w:hAnsi="Times New Roman"/>
                <w:sz w:val="14"/>
              </w:rPr>
              <w:t>Government office</w:t>
            </w:r>
          </w:p>
        </w:tc>
        <w:tc>
          <w:tcPr>
            <w:tcW w:type="dxa" w:w="3480"/>
            <w:tcMar>
              <w:top w:w="25" w:type="dxa"/>
              <w:bottom w:w="25" w:type="dxa"/>
              <w:left w:w="45" w:type="dxa"/>
              <w:right w:w="45" w:type="dxa"/>
            </w:tcMar>
          </w:tcPr>
          <w:p>
            <w:r>
              <w:rPr>
                <w:rFonts w:ascii="Times New Roman" w:hAnsi="Times New Roman"/>
                <w:sz w:val="14"/>
              </w:rPr>
              <w:t>office=government</w:t>
            </w:r>
          </w:p>
        </w:tc>
        <w:tc>
          <w:tcPr>
            <w:tcW w:type="dxa" w:w="3480"/>
            <w:tcMar>
              <w:top w:w="25" w:type="dxa"/>
              <w:bottom w:w="25" w:type="dxa"/>
              <w:left w:w="45" w:type="dxa"/>
              <w:right w:w="45" w:type="dxa"/>
            </w:tcMar>
          </w:tcPr>
          <w:p>
            <w:r>
              <w:rPr>
                <w:rFonts w:ascii="Times New Roman" w:hAnsi="Times New Roman"/>
                <w:sz w:val="14"/>
              </w:rPr>
              <w:t>0.7</w:t>
            </w:r>
          </w:p>
        </w:tc>
      </w:tr>
      <w:tr>
        <w:tc>
          <w:tcPr>
            <w:tcW w:type="dxa" w:w="3480"/>
            <w:tcMar>
              <w:top w:w="25" w:type="dxa"/>
              <w:bottom w:w="25" w:type="dxa"/>
              <w:left w:w="45" w:type="dxa"/>
              <w:right w:w="45" w:type="dxa"/>
            </w:tcMar>
          </w:tcPr>
          <w:p>
            <w:r>
              <w:rPr>
                <w:rFonts w:ascii="Times New Roman" w:hAnsi="Times New Roman"/>
                <w:sz w:val="14"/>
              </w:rPr>
              <w:t>Supermarket, mall</w:t>
            </w:r>
          </w:p>
        </w:tc>
        <w:tc>
          <w:tcPr>
            <w:tcW w:type="dxa" w:w="3480"/>
            <w:tcMar>
              <w:top w:w="25" w:type="dxa"/>
              <w:bottom w:w="25" w:type="dxa"/>
              <w:left w:w="45" w:type="dxa"/>
              <w:right w:w="45" w:type="dxa"/>
            </w:tcMar>
          </w:tcPr>
          <w:p>
            <w:r>
              <w:rPr>
                <w:rFonts w:ascii="Times New Roman" w:hAnsi="Times New Roman"/>
                <w:sz w:val="14"/>
              </w:rPr>
              <w:t>shop=supermarket, mall</w:t>
            </w:r>
          </w:p>
        </w:tc>
        <w:tc>
          <w:tcPr>
            <w:tcW w:type="dxa" w:w="3480"/>
            <w:tcMar>
              <w:top w:w="25" w:type="dxa"/>
              <w:bottom w:w="25" w:type="dxa"/>
              <w:left w:w="45" w:type="dxa"/>
              <w:right w:w="45" w:type="dxa"/>
            </w:tcMar>
          </w:tcPr>
          <w:p>
            <w:r>
              <w:rPr>
                <w:rFonts w:ascii="Times New Roman" w:hAnsi="Times New Roman"/>
                <w:sz w:val="14"/>
              </w:rPr>
              <w:t>0.7</w:t>
            </w:r>
          </w:p>
        </w:tc>
      </w:tr>
      <w:tr>
        <w:tc>
          <w:tcPr>
            <w:tcW w:type="dxa" w:w="3480"/>
            <w:tcMar>
              <w:top w:w="25" w:type="dxa"/>
              <w:bottom w:w="25" w:type="dxa"/>
              <w:left w:w="45" w:type="dxa"/>
              <w:right w:w="45" w:type="dxa"/>
            </w:tcMar>
          </w:tcPr>
          <w:p>
            <w:r>
              <w:rPr>
                <w:rFonts w:ascii="Times New Roman" w:hAnsi="Times New Roman"/>
                <w:sz w:val="14"/>
              </w:rPr>
              <w:t>Pharmacy, fuel station</w:t>
            </w:r>
          </w:p>
        </w:tc>
        <w:tc>
          <w:tcPr>
            <w:tcW w:type="dxa" w:w="3480"/>
            <w:tcMar>
              <w:top w:w="25" w:type="dxa"/>
              <w:bottom w:w="25" w:type="dxa"/>
              <w:left w:w="45" w:type="dxa"/>
              <w:right w:w="45" w:type="dxa"/>
            </w:tcMar>
          </w:tcPr>
          <w:p>
            <w:r>
              <w:rPr>
                <w:rFonts w:ascii="Times New Roman" w:hAnsi="Times New Roman"/>
                <w:sz w:val="14"/>
              </w:rPr>
              <w:t>amenity=pharmacy, fuel</w:t>
            </w:r>
          </w:p>
        </w:tc>
        <w:tc>
          <w:tcPr>
            <w:tcW w:type="dxa" w:w="3480"/>
            <w:tcMar>
              <w:top w:w="25" w:type="dxa"/>
              <w:bottom w:w="25" w:type="dxa"/>
              <w:left w:w="45" w:type="dxa"/>
              <w:right w:w="45" w:type="dxa"/>
            </w:tcMar>
          </w:tcPr>
          <w:p>
            <w:r>
              <w:rPr>
                <w:rFonts w:ascii="Times New Roman" w:hAnsi="Times New Roman"/>
                <w:sz w:val="14"/>
              </w:rPr>
              <w:t>0.6</w:t>
            </w:r>
          </w:p>
        </w:tc>
      </w:tr>
      <w:tr>
        <w:tc>
          <w:tcPr>
            <w:tcW w:type="dxa" w:w="3480"/>
            <w:tcMar>
              <w:top w:w="25" w:type="dxa"/>
              <w:bottom w:w="25" w:type="dxa"/>
              <w:left w:w="45" w:type="dxa"/>
              <w:right w:w="45" w:type="dxa"/>
            </w:tcMar>
          </w:tcPr>
          <w:p>
            <w:r>
              <w:rPr>
                <w:rFonts w:ascii="Times New Roman" w:hAnsi="Times New Roman"/>
                <w:sz w:val="14"/>
              </w:rPr>
              <w:t>Bus station, convenience</w:t>
            </w:r>
          </w:p>
        </w:tc>
        <w:tc>
          <w:tcPr>
            <w:tcW w:type="dxa" w:w="3480"/>
            <w:tcMar>
              <w:top w:w="25" w:type="dxa"/>
              <w:bottom w:w="25" w:type="dxa"/>
              <w:left w:w="45" w:type="dxa"/>
              <w:right w:w="45" w:type="dxa"/>
            </w:tcMar>
          </w:tcPr>
          <w:p>
            <w:r>
              <w:rPr>
                <w:rFonts w:ascii="Times New Roman" w:hAnsi="Times New Roman"/>
                <w:sz w:val="14"/>
              </w:rPr>
              <w:t>amenity=bus_station; shop=convenience</w:t>
            </w:r>
          </w:p>
        </w:tc>
        <w:tc>
          <w:tcPr>
            <w:tcW w:type="dxa" w:w="3480"/>
            <w:tcMar>
              <w:top w:w="25" w:type="dxa"/>
              <w:bottom w:w="25" w:type="dxa"/>
              <w:left w:w="45" w:type="dxa"/>
              <w:right w:w="45" w:type="dxa"/>
            </w:tcMar>
          </w:tcPr>
          <w:p>
            <w:r>
              <w:rPr>
                <w:rFonts w:ascii="Times New Roman" w:hAnsi="Times New Roman"/>
                <w:sz w:val="14"/>
              </w:rPr>
              <w:t>0.5</w:t>
            </w:r>
          </w:p>
        </w:tc>
      </w:tr>
    </w:tbl>
    <w:p>
      <w:pPr>
        <w:keepNext/>
        <w:spacing w:before="120" w:after="40"/>
        <w:jc w:val="left"/>
      </w:pPr>
      <w:r>
        <w:rPr>
          <w:rFonts w:ascii="Times New Roman" w:hAnsi="Times New Roman"/>
          <w:i/>
          <w:sz w:val="19"/>
        </w:rPr>
        <w:t>G. SOS and Red-Zone Dwell Escalation</w:t>
      </w:r>
    </w:p>
    <w:p>
      <w:pPr>
        <w:spacing w:before="0" w:after="40" w:line="247" w:lineRule="auto"/>
        <w:ind w:firstLine="202"/>
        <w:jc w:val="both"/>
      </w:pPr>
      <w:r>
        <w:rPr>
          <w:rFonts w:ascii="Times New Roman" w:hAnsi="Times New Roman"/>
          <w:sz w:val="20"/>
        </w:rPr>
        <w:t>Users register between one and five emergency contacts, designating one as primary. The manual SOS button requires a two-second continuous press and provides a five-second cancel window to prevent false triggers. Activation dispatches emergency messages with coordinates, timestamps, and zone status to contacts and the analyst console via Twilio or local provider abstractions.</w:t>
      </w:r>
    </w:p>
    <w:p>
      <w:pPr>
        <w:spacing w:before="0" w:after="40" w:line="247" w:lineRule="auto"/>
        <w:ind w:firstLine="202"/>
        <w:jc w:val="both"/>
      </w:pPr>
      <w:r>
        <w:rPr>
          <w:rFonts w:ascii="Times New Roman" w:hAnsi="Times New Roman"/>
          <w:sz w:val="20"/>
        </w:rPr>
        <w:t>The automated path monitors silent emergencies where victims cannot operate their phone. While the app is active and location sharing is enabled, a client heartbeat transmits every 30 seconds. A per-user finite state machine (Fig. 6) transitions from SAFE to IN_RED when a user enters a red zone. If stationary for T minutes (default 10, range 5–30 min) without touch interaction, an 'Are you safe?' prompt is issued for 60 seconds. In the absence of response, an automated emergency payload is dispatched to primary contacts with last known coordinates. A 30-minute cooldown prevents alert flooding.</w:t>
      </w:r>
    </w:p>
    <w:p>
      <w:pPr>
        <w:keepNext/>
        <w:spacing w:before="80" w:after="40"/>
        <w:jc w:val="center"/>
      </w:pPr>
      <w:r>
        <w:drawing>
          <wp:inline xmlns:a="http://schemas.openxmlformats.org/drawingml/2006/main" xmlns:pic="http://schemas.openxmlformats.org/drawingml/2006/picture">
            <wp:extent cx="3063240" cy="1679841"/>
            <wp:docPr id="6" name="Picture 6"/>
            <wp:cNvGraphicFramePr>
              <a:graphicFrameLocks noChangeAspect="1"/>
            </wp:cNvGraphicFramePr>
            <a:graphic>
              <a:graphicData uri="http://schemas.openxmlformats.org/drawingml/2006/picture">
                <pic:pic>
                  <pic:nvPicPr>
                    <pic:cNvPr id="0" name="fig6_state_machine.png"/>
                    <pic:cNvPicPr/>
                  </pic:nvPicPr>
                  <pic:blipFill>
                    <a:blip r:embed="rId14"/>
                    <a:stretch>
                      <a:fillRect/>
                    </a:stretch>
                  </pic:blipFill>
                  <pic:spPr>
                    <a:xfrm>
                      <a:off x="0" y="0"/>
                      <a:ext cx="3063240" cy="1679841"/>
                    </a:xfrm>
                    <a:prstGeom prst="rect"/>
                  </pic:spPr>
                </pic:pic>
              </a:graphicData>
            </a:graphic>
          </wp:inline>
        </w:drawing>
      </w:r>
    </w:p>
    <w:p>
      <w:pPr>
        <w:spacing w:before="0" w:after="100" w:line="240" w:lineRule="auto"/>
        <w:jc w:val="left"/>
      </w:pPr>
      <w:r>
        <w:rPr>
          <w:rFonts w:ascii="Times New Roman" w:hAnsi="Times New Roman"/>
          <w:b w:val="0"/>
          <w:sz w:val="16"/>
        </w:rPr>
        <w:t xml:space="preserve">Fig. 6. </w:t>
      </w:r>
      <w:r>
        <w:rPr>
          <w:rFonts w:ascii="Times New Roman" w:hAnsi="Times New Roman"/>
          <w:sz w:val="16"/>
        </w:rPr>
        <w:t>Red zone dwell and inactivity state machine for automatic SOS escalation.</w:t>
      </w:r>
    </w:p>
    <w:p>
      <w:pPr>
        <w:keepNext/>
        <w:spacing w:before="120" w:after="40"/>
        <w:jc w:val="left"/>
      </w:pPr>
      <w:r>
        <w:rPr>
          <w:rFonts w:ascii="Times New Roman" w:hAnsi="Times New Roman"/>
          <w:i/>
          <w:sz w:val="19"/>
        </w:rPr>
        <w:t>H. Privacy, Consent, and Security</w:t>
      </w:r>
    </w:p>
    <w:p>
      <w:pPr>
        <w:spacing w:before="0" w:after="40" w:line="247" w:lineRule="auto"/>
        <w:ind w:firstLine="202"/>
        <w:jc w:val="both"/>
      </w:pPr>
      <w:r>
        <w:rPr>
          <w:rFonts w:ascii="Times New Roman" w:hAnsi="Times New Roman"/>
          <w:sz w:val="20"/>
        </w:rPr>
        <w:t>Location records constitute sensitive personal data [40]. In CrimeSense, location capture requires explicit user consent, and administrative live map tracking functions only for consenting accounts with active heartbeats, logging every view event immutably. Turning off location sharing suspends heartbeats and dwell alerting while leaving manual search operative. Sign-in supports salted password hashes and Google OAuth with audience and verified email validation [41]. The architecture aligns with India's Digital Personal Data Protection Act [42], supporting complete data deletion upon request.</w:t>
      </w:r>
    </w:p>
    <w:p>
      <w:pPr>
        <w:keepNext/>
        <w:spacing w:before="160" w:after="60"/>
        <w:jc w:val="center"/>
      </w:pPr>
      <w:r>
        <w:rPr>
          <w:rFonts w:ascii="Times New Roman" w:hAnsi="Times New Roman"/>
          <w:b w:val="0"/>
          <w:sz w:val="20"/>
        </w:rPr>
        <w:t>IV. IMPLEMENTATION STATUS AND VERIFICATION</w:t>
      </w:r>
    </w:p>
    <w:p>
      <w:pPr>
        <w:spacing w:before="0" w:after="40" w:line="247" w:lineRule="auto"/>
        <w:ind w:firstLine="202"/>
        <w:jc w:val="both"/>
      </w:pPr>
      <w:r>
        <w:rPr>
          <w:rFonts w:ascii="Times New Roman" w:hAnsi="Times New Roman"/>
          <w:sz w:val="20"/>
        </w:rPr>
        <w:t>Table V outlines the operational state of system components. Verified components have passed test scripts and health queries, partial components are functional but awaiting field deployment, while designed and planned modules represent theoretical formulations.</w:t>
      </w:r>
    </w:p>
    <w:p>
      <w:pPr>
        <w:keepNext/>
        <w:spacing w:before="120" w:after="20"/>
        <w:jc w:val="center"/>
      </w:pPr>
      <w:r>
        <w:rPr>
          <w:rFonts w:ascii="Times New Roman" w:hAnsi="Times New Roman"/>
          <w:sz w:val="16"/>
        </w:rPr>
        <w:t>TABLE V</w:t>
      </w:r>
    </w:p>
    <w:p>
      <w:pPr>
        <w:keepNext/>
        <w:spacing w:before="0" w:after="60"/>
        <w:jc w:val="center"/>
      </w:pPr>
      <w:r>
        <w:rPr>
          <w:rFonts w:ascii="Times New Roman" w:hAnsi="Times New Roman"/>
          <w:sz w:val="15"/>
        </w:rPr>
        <w:t>IMPLEMENTATION STATUS OF CRIMESENSE COMPONENTS</w:t>
      </w:r>
    </w:p>
    <w:tbl>
      <w:tblPr>
        <w:tblW w:type="auto" w:w="0"/>
        <w:tblLook w:firstColumn="1" w:firstRow="1" w:lastColumn="0" w:lastRow="0" w:noHBand="0" w:noVBand="1" w:val="04A0"/>
        <w:tblBorders>
          <w:top w:val="single" w:sz="6" w:space="0" w:color="000000"/>
          <w:bottom w:val="single" w:sz="6" w:space="0" w:color="000000"/>
          <w:insideH w:val="single" w:sz="4" w:space="0" w:color="000000"/>
          <w:insideV w:val="none"/>
          <w:left w:val="none"/>
          <w:right w:val="none"/>
        </w:tblBorders>
      </w:tblPr>
      <w:tblGrid>
        <w:gridCol w:w="3480"/>
        <w:gridCol w:w="3480"/>
        <w:gridCol w:w="3480"/>
      </w:tblGrid>
      <w:tr>
        <w:tc>
          <w:tcPr>
            <w:tcW w:type="dxa" w:w="3480"/>
            <w:tcMar>
              <w:top w:w="30" w:type="dxa"/>
              <w:bottom w:w="30" w:type="dxa"/>
              <w:left w:w="50" w:type="dxa"/>
              <w:right w:w="50" w:type="dxa"/>
            </w:tcMar>
          </w:tcPr>
          <w:p>
            <w:r>
              <w:rPr>
                <w:rFonts w:ascii="Times New Roman" w:hAnsi="Times New Roman"/>
                <w:b/>
                <w:sz w:val="15"/>
              </w:rPr>
              <w:t>Component</w:t>
            </w:r>
          </w:p>
        </w:tc>
        <w:tc>
          <w:tcPr>
            <w:tcW w:type="dxa" w:w="3480"/>
            <w:tcMar>
              <w:top w:w="30" w:type="dxa"/>
              <w:bottom w:w="30" w:type="dxa"/>
              <w:left w:w="50" w:type="dxa"/>
              <w:right w:w="50" w:type="dxa"/>
            </w:tcMar>
          </w:tcPr>
          <w:p>
            <w:r>
              <w:rPr>
                <w:rFonts w:ascii="Times New Roman" w:hAnsi="Times New Roman"/>
                <w:b/>
                <w:sz w:val="15"/>
              </w:rPr>
              <w:t>Status</w:t>
            </w:r>
          </w:p>
        </w:tc>
        <w:tc>
          <w:tcPr>
            <w:tcW w:type="dxa" w:w="3480"/>
            <w:tcMar>
              <w:top w:w="30" w:type="dxa"/>
              <w:bottom w:w="30" w:type="dxa"/>
              <w:left w:w="50" w:type="dxa"/>
              <w:right w:w="50" w:type="dxa"/>
            </w:tcMar>
          </w:tcPr>
          <w:p>
            <w:r>
              <w:rPr>
                <w:rFonts w:ascii="Times New Roman" w:hAnsi="Times New Roman"/>
                <w:b/>
                <w:sz w:val="15"/>
              </w:rPr>
              <w:t>Verification Basis</w:t>
            </w:r>
          </w:p>
        </w:tc>
      </w:tr>
      <w:tr>
        <w:tc>
          <w:tcPr>
            <w:tcW w:type="dxa" w:w="3480"/>
            <w:tcMar>
              <w:top w:w="20" w:type="dxa"/>
              <w:bottom w:w="20" w:type="dxa"/>
              <w:left w:w="40" w:type="dxa"/>
              <w:right w:w="40" w:type="dxa"/>
            </w:tcMar>
          </w:tcPr>
          <w:p>
            <w:r>
              <w:rPr>
                <w:rFonts w:ascii="Times New Roman" w:hAnsi="Times New Roman"/>
                <w:sz w:val="14"/>
              </w:rPr>
              <w:t>Crime database (596 records)</w:t>
            </w:r>
          </w:p>
        </w:tc>
        <w:tc>
          <w:tcPr>
            <w:tcW w:type="dxa" w:w="3480"/>
            <w:tcMar>
              <w:top w:w="20" w:type="dxa"/>
              <w:bottom w:w="20" w:type="dxa"/>
              <w:left w:w="40" w:type="dxa"/>
              <w:right w:w="40" w:type="dxa"/>
            </w:tcMar>
          </w:tcPr>
          <w:p>
            <w:r>
              <w:rPr>
                <w:rFonts w:ascii="Times New Roman" w:hAnsi="Times New Roman"/>
                <w:sz w:val="14"/>
              </w:rPr>
              <w:t>Verified</w:t>
            </w:r>
          </w:p>
        </w:tc>
        <w:tc>
          <w:tcPr>
            <w:tcW w:type="dxa" w:w="3480"/>
            <w:tcMar>
              <w:top w:w="20" w:type="dxa"/>
              <w:bottom w:w="20" w:type="dxa"/>
              <w:left w:w="40" w:type="dxa"/>
              <w:right w:w="40" w:type="dxa"/>
            </w:tcMar>
          </w:tcPr>
          <w:p>
            <w:r>
              <w:rPr>
                <w:rFonts w:ascii="Times New Roman" w:hAnsi="Times New Roman"/>
                <w:sz w:val="14"/>
              </w:rPr>
              <w:t>Database verifier and health endpoint</w:t>
            </w:r>
          </w:p>
        </w:tc>
      </w:tr>
      <w:tr>
        <w:tc>
          <w:tcPr>
            <w:tcW w:type="dxa" w:w="3480"/>
            <w:tcMar>
              <w:top w:w="20" w:type="dxa"/>
              <w:bottom w:w="20" w:type="dxa"/>
              <w:left w:w="40" w:type="dxa"/>
              <w:right w:w="40" w:type="dxa"/>
            </w:tcMar>
          </w:tcPr>
          <w:p>
            <w:r>
              <w:rPr>
                <w:rFonts w:ascii="Times New Roman" w:hAnsi="Times New Roman"/>
                <w:sz w:val="14"/>
              </w:rPr>
              <w:t>Record quality checks</w:t>
            </w:r>
          </w:p>
        </w:tc>
        <w:tc>
          <w:tcPr>
            <w:tcW w:type="dxa" w:w="3480"/>
            <w:tcMar>
              <w:top w:w="20" w:type="dxa"/>
              <w:bottom w:w="20" w:type="dxa"/>
              <w:left w:w="40" w:type="dxa"/>
              <w:right w:w="40" w:type="dxa"/>
            </w:tcMar>
          </w:tcPr>
          <w:p>
            <w:r>
              <w:rPr>
                <w:rFonts w:ascii="Times New Roman" w:hAnsi="Times New Roman"/>
                <w:sz w:val="14"/>
              </w:rPr>
              <w:t>Verified</w:t>
            </w:r>
          </w:p>
        </w:tc>
        <w:tc>
          <w:tcPr>
            <w:tcW w:type="dxa" w:w="3480"/>
            <w:tcMar>
              <w:top w:w="20" w:type="dxa"/>
              <w:bottom w:w="20" w:type="dxa"/>
              <w:left w:w="40" w:type="dxa"/>
              <w:right w:w="40" w:type="dxa"/>
            </w:tcMar>
          </w:tcPr>
          <w:p>
            <w:r>
              <w:rPr>
                <w:rFonts w:ascii="Times New Roman" w:hAnsi="Times New Roman"/>
                <w:sz w:val="14"/>
              </w:rPr>
              <w:t>Quality audit script and Table VI</w:t>
            </w:r>
          </w:p>
        </w:tc>
      </w:tr>
      <w:tr>
        <w:tc>
          <w:tcPr>
            <w:tcW w:type="dxa" w:w="3480"/>
            <w:tcMar>
              <w:top w:w="20" w:type="dxa"/>
              <w:bottom w:w="20" w:type="dxa"/>
              <w:left w:w="40" w:type="dxa"/>
              <w:right w:w="40" w:type="dxa"/>
            </w:tcMar>
          </w:tcPr>
          <w:p>
            <w:r>
              <w:rPr>
                <w:rFonts w:ascii="Times New Roman" w:hAnsi="Times New Roman"/>
                <w:sz w:val="14"/>
              </w:rPr>
              <w:t>Email signup and login</w:t>
            </w:r>
          </w:p>
        </w:tc>
        <w:tc>
          <w:tcPr>
            <w:tcW w:type="dxa" w:w="3480"/>
            <w:tcMar>
              <w:top w:w="20" w:type="dxa"/>
              <w:bottom w:w="20" w:type="dxa"/>
              <w:left w:w="40" w:type="dxa"/>
              <w:right w:w="40" w:type="dxa"/>
            </w:tcMar>
          </w:tcPr>
          <w:p>
            <w:r>
              <w:rPr>
                <w:rFonts w:ascii="Times New Roman" w:hAnsi="Times New Roman"/>
                <w:sz w:val="14"/>
              </w:rPr>
              <w:t>Verified</w:t>
            </w:r>
          </w:p>
        </w:tc>
        <w:tc>
          <w:tcPr>
            <w:tcW w:type="dxa" w:w="3480"/>
            <w:tcMar>
              <w:top w:w="20" w:type="dxa"/>
              <w:bottom w:w="20" w:type="dxa"/>
              <w:left w:w="40" w:type="dxa"/>
              <w:right w:w="40" w:type="dxa"/>
            </w:tcMar>
          </w:tcPr>
          <w:p>
            <w:r>
              <w:rPr>
                <w:rFonts w:ascii="Times New Roman" w:hAnsi="Times New Roman"/>
                <w:sz w:val="14"/>
              </w:rPr>
              <w:t>End to end flow verification tests</w:t>
            </w:r>
          </w:p>
        </w:tc>
      </w:tr>
      <w:tr>
        <w:tc>
          <w:tcPr>
            <w:tcW w:type="dxa" w:w="3480"/>
            <w:tcMar>
              <w:top w:w="20" w:type="dxa"/>
              <w:bottom w:w="20" w:type="dxa"/>
              <w:left w:w="40" w:type="dxa"/>
              <w:right w:w="40" w:type="dxa"/>
            </w:tcMar>
          </w:tcPr>
          <w:p>
            <w:r>
              <w:rPr>
                <w:rFonts w:ascii="Times New Roman" w:hAnsi="Times New Roman"/>
                <w:sz w:val="14"/>
              </w:rPr>
              <w:t>Role separated access guard</w:t>
            </w:r>
          </w:p>
        </w:tc>
        <w:tc>
          <w:tcPr>
            <w:tcW w:type="dxa" w:w="3480"/>
            <w:tcMar>
              <w:top w:w="20" w:type="dxa"/>
              <w:bottom w:w="20" w:type="dxa"/>
              <w:left w:w="40" w:type="dxa"/>
              <w:right w:w="40" w:type="dxa"/>
            </w:tcMar>
          </w:tcPr>
          <w:p>
            <w:r>
              <w:rPr>
                <w:rFonts w:ascii="Times New Roman" w:hAnsi="Times New Roman"/>
                <w:sz w:val="14"/>
              </w:rPr>
              <w:t>Partial</w:t>
            </w:r>
          </w:p>
        </w:tc>
        <w:tc>
          <w:tcPr>
            <w:tcW w:type="dxa" w:w="3480"/>
            <w:tcMar>
              <w:top w:w="20" w:type="dxa"/>
              <w:bottom w:w="20" w:type="dxa"/>
              <w:left w:w="40" w:type="dxa"/>
              <w:right w:w="40" w:type="dxa"/>
            </w:tcMar>
          </w:tcPr>
          <w:p>
            <w:r>
              <w:rPr>
                <w:rFonts w:ascii="Times New Roman" w:hAnsi="Times New Roman"/>
                <w:sz w:val="14"/>
              </w:rPr>
              <w:t>Roles stored; access middleware in place</w:t>
            </w:r>
          </w:p>
        </w:tc>
      </w:tr>
      <w:tr>
        <w:tc>
          <w:tcPr>
            <w:tcW w:type="dxa" w:w="3480"/>
            <w:tcMar>
              <w:top w:w="20" w:type="dxa"/>
              <w:bottom w:w="20" w:type="dxa"/>
              <w:left w:w="40" w:type="dxa"/>
              <w:right w:w="40" w:type="dxa"/>
            </w:tcMar>
          </w:tcPr>
          <w:p>
            <w:r>
              <w:rPr>
                <w:rFonts w:ascii="Times New Roman" w:hAnsi="Times New Roman"/>
                <w:sz w:val="14"/>
              </w:rPr>
              <w:t>Google OAuth 2.0 integration</w:t>
            </w:r>
          </w:p>
        </w:tc>
        <w:tc>
          <w:tcPr>
            <w:tcW w:type="dxa" w:w="3480"/>
            <w:tcMar>
              <w:top w:w="20" w:type="dxa"/>
              <w:bottom w:w="20" w:type="dxa"/>
              <w:left w:w="40" w:type="dxa"/>
              <w:right w:w="40" w:type="dxa"/>
            </w:tcMar>
          </w:tcPr>
          <w:p>
            <w:r>
              <w:rPr>
                <w:rFonts w:ascii="Times New Roman" w:hAnsi="Times New Roman"/>
                <w:sz w:val="14"/>
              </w:rPr>
              <w:t>Verified</w:t>
            </w:r>
          </w:p>
        </w:tc>
        <w:tc>
          <w:tcPr>
            <w:tcW w:type="dxa" w:w="3480"/>
            <w:tcMar>
              <w:top w:w="20" w:type="dxa"/>
              <w:bottom w:w="20" w:type="dxa"/>
              <w:left w:w="40" w:type="dxa"/>
              <w:right w:w="40" w:type="dxa"/>
            </w:tcMar>
          </w:tcPr>
          <w:p>
            <w:r>
              <w:rPr>
                <w:rFonts w:ascii="Times New Roman" w:hAnsi="Times New Roman"/>
                <w:sz w:val="14"/>
              </w:rPr>
              <w:t>Sign in test script and deduplication</w:t>
            </w:r>
          </w:p>
        </w:tc>
      </w:tr>
      <w:tr>
        <w:tc>
          <w:tcPr>
            <w:tcW w:type="dxa" w:w="3480"/>
            <w:tcMar>
              <w:top w:w="20" w:type="dxa"/>
              <w:bottom w:w="20" w:type="dxa"/>
              <w:left w:w="40" w:type="dxa"/>
              <w:right w:w="40" w:type="dxa"/>
            </w:tcMar>
          </w:tcPr>
          <w:p>
            <w:r>
              <w:rPr>
                <w:rFonts w:ascii="Times New Roman" w:hAnsi="Times New Roman"/>
                <w:sz w:val="14"/>
              </w:rPr>
              <w:t>Admin KPIs, charts, and CRUD</w:t>
            </w:r>
          </w:p>
        </w:tc>
        <w:tc>
          <w:tcPr>
            <w:tcW w:type="dxa" w:w="3480"/>
            <w:tcMar>
              <w:top w:w="20" w:type="dxa"/>
              <w:bottom w:w="20" w:type="dxa"/>
              <w:left w:w="40" w:type="dxa"/>
              <w:right w:w="40" w:type="dxa"/>
            </w:tcMar>
          </w:tcPr>
          <w:p>
            <w:r>
              <w:rPr>
                <w:rFonts w:ascii="Times New Roman" w:hAnsi="Times New Roman"/>
                <w:sz w:val="14"/>
              </w:rPr>
              <w:t>Verified</w:t>
            </w:r>
          </w:p>
        </w:tc>
        <w:tc>
          <w:tcPr>
            <w:tcW w:type="dxa" w:w="3480"/>
            <w:tcMar>
              <w:top w:w="20" w:type="dxa"/>
              <w:bottom w:w="20" w:type="dxa"/>
              <w:left w:w="40" w:type="dxa"/>
              <w:right w:w="40" w:type="dxa"/>
            </w:tcMar>
          </w:tcPr>
          <w:p>
            <w:r>
              <w:rPr>
                <w:rFonts w:ascii="Times New Roman" w:hAnsi="Times New Roman"/>
                <w:sz w:val="14"/>
              </w:rPr>
              <w:t>Database backed live queries</w:t>
            </w:r>
          </w:p>
        </w:tc>
      </w:tr>
      <w:tr>
        <w:tc>
          <w:tcPr>
            <w:tcW w:type="dxa" w:w="3480"/>
            <w:tcMar>
              <w:top w:w="20" w:type="dxa"/>
              <w:bottom w:w="20" w:type="dxa"/>
              <w:left w:w="40" w:type="dxa"/>
              <w:right w:w="40" w:type="dxa"/>
            </w:tcMar>
          </w:tcPr>
          <w:p>
            <w:r>
              <w:rPr>
                <w:rFonts w:ascii="Times New Roman" w:hAnsi="Times New Roman"/>
                <w:sz w:val="14"/>
              </w:rPr>
              <w:t>Consent gated live map, audit log</w:t>
            </w:r>
          </w:p>
        </w:tc>
        <w:tc>
          <w:tcPr>
            <w:tcW w:type="dxa" w:w="3480"/>
            <w:tcMar>
              <w:top w:w="20" w:type="dxa"/>
              <w:bottom w:w="20" w:type="dxa"/>
              <w:left w:w="40" w:type="dxa"/>
              <w:right w:w="40" w:type="dxa"/>
            </w:tcMar>
          </w:tcPr>
          <w:p>
            <w:r>
              <w:rPr>
                <w:rFonts w:ascii="Times New Roman" w:hAnsi="Times New Roman"/>
                <w:sz w:val="14"/>
              </w:rPr>
              <w:t>Verified</w:t>
            </w:r>
          </w:p>
        </w:tc>
        <w:tc>
          <w:tcPr>
            <w:tcW w:type="dxa" w:w="3480"/>
            <w:tcMar>
              <w:top w:w="20" w:type="dxa"/>
              <w:bottom w:w="20" w:type="dxa"/>
              <w:left w:w="40" w:type="dxa"/>
              <w:right w:w="40" w:type="dxa"/>
            </w:tcMar>
          </w:tcPr>
          <w:p>
            <w:r>
              <w:rPr>
                <w:rFonts w:ascii="Times New Roman" w:hAnsi="Times New Roman"/>
                <w:sz w:val="14"/>
              </w:rPr>
              <w:t>Audit trail records verified</w:t>
            </w:r>
          </w:p>
        </w:tc>
      </w:tr>
      <w:tr>
        <w:tc>
          <w:tcPr>
            <w:tcW w:type="dxa" w:w="3480"/>
            <w:tcMar>
              <w:top w:w="20" w:type="dxa"/>
              <w:bottom w:w="20" w:type="dxa"/>
              <w:left w:w="40" w:type="dxa"/>
              <w:right w:w="40" w:type="dxa"/>
            </w:tcMar>
          </w:tcPr>
          <w:p>
            <w:r>
              <w:rPr>
                <w:rFonts w:ascii="Times New Roman" w:hAnsi="Times New Roman"/>
                <w:sz w:val="14"/>
              </w:rPr>
              <w:t>Contacts, saved places persistence</w:t>
            </w:r>
          </w:p>
        </w:tc>
        <w:tc>
          <w:tcPr>
            <w:tcW w:type="dxa" w:w="3480"/>
            <w:tcMar>
              <w:top w:w="20" w:type="dxa"/>
              <w:bottom w:w="20" w:type="dxa"/>
              <w:left w:w="40" w:type="dxa"/>
              <w:right w:w="40" w:type="dxa"/>
            </w:tcMar>
          </w:tcPr>
          <w:p>
            <w:r>
              <w:rPr>
                <w:rFonts w:ascii="Times New Roman" w:hAnsi="Times New Roman"/>
                <w:sz w:val="14"/>
              </w:rPr>
              <w:t>Verified</w:t>
            </w:r>
          </w:p>
        </w:tc>
        <w:tc>
          <w:tcPr>
            <w:tcW w:type="dxa" w:w="3480"/>
            <w:tcMar>
              <w:top w:w="20" w:type="dxa"/>
              <w:bottom w:w="20" w:type="dxa"/>
              <w:left w:w="40" w:type="dxa"/>
              <w:right w:w="40" w:type="dxa"/>
            </w:tcMar>
          </w:tcPr>
          <w:p>
            <w:r>
              <w:rPr>
                <w:rFonts w:ascii="Times New Roman" w:hAnsi="Times New Roman"/>
                <w:sz w:val="14"/>
              </w:rPr>
              <w:t>Full flow database test scripts</w:t>
            </w:r>
          </w:p>
        </w:tc>
      </w:tr>
      <w:tr>
        <w:tc>
          <w:tcPr>
            <w:tcW w:type="dxa" w:w="3480"/>
            <w:tcMar>
              <w:top w:w="20" w:type="dxa"/>
              <w:bottom w:w="20" w:type="dxa"/>
              <w:left w:w="40" w:type="dxa"/>
              <w:right w:w="40" w:type="dxa"/>
            </w:tcMar>
          </w:tcPr>
          <w:p>
            <w:r>
              <w:rPr>
                <w:rFonts w:ascii="Times New Roman" w:hAnsi="Times New Roman"/>
                <w:sz w:val="14"/>
              </w:rPr>
              <w:t>Notification provider (Twilio/Log)</w:t>
            </w:r>
          </w:p>
        </w:tc>
        <w:tc>
          <w:tcPr>
            <w:tcW w:type="dxa" w:w="3480"/>
            <w:tcMar>
              <w:top w:w="20" w:type="dxa"/>
              <w:bottom w:w="20" w:type="dxa"/>
              <w:left w:w="40" w:type="dxa"/>
              <w:right w:w="40" w:type="dxa"/>
            </w:tcMar>
          </w:tcPr>
          <w:p>
            <w:r>
              <w:rPr>
                <w:rFonts w:ascii="Times New Roman" w:hAnsi="Times New Roman"/>
                <w:sz w:val="14"/>
              </w:rPr>
              <w:t>Partial</w:t>
            </w:r>
          </w:p>
        </w:tc>
        <w:tc>
          <w:tcPr>
            <w:tcW w:type="dxa" w:w="3480"/>
            <w:tcMar>
              <w:top w:w="20" w:type="dxa"/>
              <w:bottom w:w="20" w:type="dxa"/>
              <w:left w:w="40" w:type="dxa"/>
              <w:right w:w="40" w:type="dxa"/>
            </w:tcMar>
          </w:tcPr>
          <w:p>
            <w:r>
              <w:rPr>
                <w:rFonts w:ascii="Times New Roman" w:hAnsi="Times New Roman"/>
                <w:sz w:val="14"/>
              </w:rPr>
              <w:t>Local logging tested; live trial pending</w:t>
            </w:r>
          </w:p>
        </w:tc>
      </w:tr>
      <w:tr>
        <w:tc>
          <w:tcPr>
            <w:tcW w:type="dxa" w:w="3480"/>
            <w:tcMar>
              <w:top w:w="20" w:type="dxa"/>
              <w:bottom w:w="20" w:type="dxa"/>
              <w:left w:w="40" w:type="dxa"/>
              <w:right w:w="40" w:type="dxa"/>
            </w:tcMar>
          </w:tcPr>
          <w:p>
            <w:r>
              <w:rPr>
                <w:rFonts w:ascii="Times New Roman" w:hAnsi="Times New Roman"/>
                <w:sz w:val="14"/>
              </w:rPr>
              <w:t>Red zone dwell state monitoring</w:t>
            </w:r>
          </w:p>
        </w:tc>
        <w:tc>
          <w:tcPr>
            <w:tcW w:type="dxa" w:w="3480"/>
            <w:tcMar>
              <w:top w:w="20" w:type="dxa"/>
              <w:bottom w:w="20" w:type="dxa"/>
              <w:left w:w="40" w:type="dxa"/>
              <w:right w:w="40" w:type="dxa"/>
            </w:tcMar>
          </w:tcPr>
          <w:p>
            <w:r>
              <w:rPr>
                <w:rFonts w:ascii="Times New Roman" w:hAnsi="Times New Roman"/>
                <w:sz w:val="14"/>
              </w:rPr>
              <w:t>Partial</w:t>
            </w:r>
          </w:p>
        </w:tc>
        <w:tc>
          <w:tcPr>
            <w:tcW w:type="dxa" w:w="3480"/>
            <w:tcMar>
              <w:top w:w="20" w:type="dxa"/>
              <w:bottom w:w="20" w:type="dxa"/>
              <w:left w:w="40" w:type="dxa"/>
              <w:right w:w="40" w:type="dxa"/>
            </w:tcMar>
          </w:tcPr>
          <w:p>
            <w:r>
              <w:rPr>
                <w:rFonts w:ascii="Times New Roman" w:hAnsi="Times New Roman"/>
                <w:sz w:val="14"/>
              </w:rPr>
              <w:t>State table verified; hardware trial pending</w:t>
            </w:r>
          </w:p>
        </w:tc>
      </w:tr>
      <w:tr>
        <w:tc>
          <w:tcPr>
            <w:tcW w:type="dxa" w:w="3480"/>
            <w:tcMar>
              <w:top w:w="20" w:type="dxa"/>
              <w:bottom w:w="20" w:type="dxa"/>
              <w:left w:w="40" w:type="dxa"/>
              <w:right w:w="40" w:type="dxa"/>
            </w:tcMar>
          </w:tcPr>
          <w:p>
            <w:r>
              <w:rPr>
                <w:rFonts w:ascii="Times New Roman" w:hAnsi="Times New Roman"/>
                <w:sz w:val="14"/>
              </w:rPr>
              <w:t>Zone classification with Table II</w:t>
            </w:r>
          </w:p>
        </w:tc>
        <w:tc>
          <w:tcPr>
            <w:tcW w:type="dxa" w:w="3480"/>
            <w:tcMar>
              <w:top w:w="20" w:type="dxa"/>
              <w:bottom w:w="20" w:type="dxa"/>
              <w:left w:w="40" w:type="dxa"/>
              <w:right w:w="40" w:type="dxa"/>
            </w:tcMar>
          </w:tcPr>
          <w:p>
            <w:r>
              <w:rPr>
                <w:rFonts w:ascii="Times New Roman" w:hAnsi="Times New Roman"/>
                <w:sz w:val="14"/>
              </w:rPr>
              <w:t>Designed</w:t>
            </w:r>
          </w:p>
        </w:tc>
        <w:tc>
          <w:tcPr>
            <w:tcW w:type="dxa" w:w="3480"/>
            <w:tcMar>
              <w:top w:w="20" w:type="dxa"/>
              <w:bottom w:w="20" w:type="dxa"/>
              <w:left w:w="40" w:type="dxa"/>
              <w:right w:w="40" w:type="dxa"/>
            </w:tcMar>
          </w:tcPr>
          <w:p>
            <w:r>
              <w:rPr>
                <w:rFonts w:ascii="Times New Roman" w:hAnsi="Times New Roman"/>
                <w:sz w:val="14"/>
              </w:rPr>
              <w:t>Formulated; parameter tuning pending</w:t>
            </w:r>
          </w:p>
        </w:tc>
      </w:tr>
      <w:tr>
        <w:tc>
          <w:tcPr>
            <w:tcW w:type="dxa" w:w="3480"/>
            <w:tcMar>
              <w:top w:w="20" w:type="dxa"/>
              <w:bottom w:w="20" w:type="dxa"/>
              <w:left w:w="40" w:type="dxa"/>
              <w:right w:w="40" w:type="dxa"/>
            </w:tcMar>
          </w:tcPr>
          <w:p>
            <w:r>
              <w:rPr>
                <w:rFonts w:ascii="Times New Roman" w:hAnsi="Times New Roman"/>
                <w:sz w:val="14"/>
              </w:rPr>
              <w:t>Hotspot clustering (DBSCAN)</w:t>
            </w:r>
          </w:p>
        </w:tc>
        <w:tc>
          <w:tcPr>
            <w:tcW w:type="dxa" w:w="3480"/>
            <w:tcMar>
              <w:top w:w="20" w:type="dxa"/>
              <w:bottom w:w="20" w:type="dxa"/>
              <w:left w:w="40" w:type="dxa"/>
              <w:right w:w="40" w:type="dxa"/>
            </w:tcMar>
          </w:tcPr>
          <w:p>
            <w:r>
              <w:rPr>
                <w:rFonts w:ascii="Times New Roman" w:hAnsi="Times New Roman"/>
                <w:sz w:val="14"/>
              </w:rPr>
              <w:t>Partial</w:t>
            </w:r>
          </w:p>
        </w:tc>
        <w:tc>
          <w:tcPr>
            <w:tcW w:type="dxa" w:w="3480"/>
            <w:tcMar>
              <w:top w:w="20" w:type="dxa"/>
              <w:bottom w:w="20" w:type="dxa"/>
              <w:left w:w="40" w:type="dxa"/>
              <w:right w:w="40" w:type="dxa"/>
            </w:tcMar>
          </w:tcPr>
          <w:p>
            <w:r>
              <w:rPr>
                <w:rFonts w:ascii="Times New Roman" w:hAnsi="Times New Roman"/>
                <w:sz w:val="14"/>
              </w:rPr>
              <w:t>KPI uses high severity proxy count</w:t>
            </w:r>
          </w:p>
        </w:tc>
      </w:tr>
      <w:tr>
        <w:tc>
          <w:tcPr>
            <w:tcW w:type="dxa" w:w="3480"/>
            <w:tcMar>
              <w:top w:w="20" w:type="dxa"/>
              <w:bottom w:w="20" w:type="dxa"/>
              <w:left w:w="40" w:type="dxa"/>
              <w:right w:w="40" w:type="dxa"/>
            </w:tcMar>
          </w:tcPr>
          <w:p>
            <w:r>
              <w:rPr>
                <w:rFonts w:ascii="Times New Roman" w:hAnsi="Times New Roman"/>
                <w:sz w:val="14"/>
              </w:rPr>
              <w:t>Link sharing and export</w:t>
            </w:r>
          </w:p>
        </w:tc>
        <w:tc>
          <w:tcPr>
            <w:tcW w:type="dxa" w:w="3480"/>
            <w:tcMar>
              <w:top w:w="20" w:type="dxa"/>
              <w:bottom w:w="20" w:type="dxa"/>
              <w:left w:w="40" w:type="dxa"/>
              <w:right w:w="40" w:type="dxa"/>
            </w:tcMar>
          </w:tcPr>
          <w:p>
            <w:r>
              <w:rPr>
                <w:rFonts w:ascii="Times New Roman" w:hAnsi="Times New Roman"/>
                <w:sz w:val="14"/>
              </w:rPr>
              <w:t>Partial</w:t>
            </w:r>
          </w:p>
        </w:tc>
        <w:tc>
          <w:tcPr>
            <w:tcW w:type="dxa" w:w="3480"/>
            <w:tcMar>
              <w:top w:w="20" w:type="dxa"/>
              <w:bottom w:w="20" w:type="dxa"/>
              <w:left w:w="40" w:type="dxa"/>
              <w:right w:w="40" w:type="dxa"/>
            </w:tcMar>
          </w:tcPr>
          <w:p>
            <w:r>
              <w:rPr>
                <w:rFonts w:ascii="Times New Roman" w:hAnsi="Times New Roman"/>
                <w:sz w:val="14"/>
              </w:rPr>
              <w:t>Shared links table operational</w:t>
            </w:r>
          </w:p>
        </w:tc>
      </w:tr>
      <w:tr>
        <w:tc>
          <w:tcPr>
            <w:tcW w:type="dxa" w:w="3480"/>
            <w:tcMar>
              <w:top w:w="20" w:type="dxa"/>
              <w:bottom w:w="20" w:type="dxa"/>
              <w:left w:w="40" w:type="dxa"/>
              <w:right w:w="40" w:type="dxa"/>
            </w:tcMar>
          </w:tcPr>
          <w:p>
            <w:r>
              <w:rPr>
                <w:rFonts w:ascii="Times New Roman" w:hAnsi="Times New Roman"/>
                <w:sz w:val="14"/>
              </w:rPr>
              <w:t>Pre-visit advisory generator</w:t>
            </w:r>
          </w:p>
        </w:tc>
        <w:tc>
          <w:tcPr>
            <w:tcW w:type="dxa" w:w="3480"/>
            <w:tcMar>
              <w:top w:w="20" w:type="dxa"/>
              <w:bottom w:w="20" w:type="dxa"/>
              <w:left w:w="40" w:type="dxa"/>
              <w:right w:w="40" w:type="dxa"/>
            </w:tcMar>
          </w:tcPr>
          <w:p>
            <w:r>
              <w:rPr>
                <w:rFonts w:ascii="Times New Roman" w:hAnsi="Times New Roman"/>
                <w:sz w:val="14"/>
              </w:rPr>
              <w:t>Designed</w:t>
            </w:r>
          </w:p>
        </w:tc>
        <w:tc>
          <w:tcPr>
            <w:tcW w:type="dxa" w:w="3480"/>
            <w:tcMar>
              <w:top w:w="20" w:type="dxa"/>
              <w:bottom w:w="20" w:type="dxa"/>
              <w:left w:w="40" w:type="dxa"/>
              <w:right w:w="40" w:type="dxa"/>
            </w:tcMar>
          </w:tcPr>
          <w:p>
            <w:r>
              <w:rPr>
                <w:rFonts w:ascii="Times New Roman" w:hAnsi="Times New Roman"/>
                <w:sz w:val="14"/>
              </w:rPr>
              <w:t>Rules defined in Table III</w:t>
            </w:r>
          </w:p>
        </w:tc>
      </w:tr>
      <w:tr>
        <w:tc>
          <w:tcPr>
            <w:tcW w:type="dxa" w:w="3480"/>
            <w:tcMar>
              <w:top w:w="20" w:type="dxa"/>
              <w:bottom w:w="20" w:type="dxa"/>
              <w:left w:w="40" w:type="dxa"/>
              <w:right w:w="40" w:type="dxa"/>
            </w:tcMar>
          </w:tcPr>
          <w:p>
            <w:r>
              <w:rPr>
                <w:rFonts w:ascii="Times New Roman" w:hAnsi="Times New Roman"/>
                <w:sz w:val="14"/>
              </w:rPr>
              <w:t>Safe haven finder</w:t>
            </w:r>
          </w:p>
        </w:tc>
        <w:tc>
          <w:tcPr>
            <w:tcW w:type="dxa" w:w="3480"/>
            <w:tcMar>
              <w:top w:w="20" w:type="dxa"/>
              <w:bottom w:w="20" w:type="dxa"/>
              <w:left w:w="40" w:type="dxa"/>
              <w:right w:w="40" w:type="dxa"/>
            </w:tcMar>
          </w:tcPr>
          <w:p>
            <w:r>
              <w:rPr>
                <w:rFonts w:ascii="Times New Roman" w:hAnsi="Times New Roman"/>
                <w:sz w:val="14"/>
              </w:rPr>
              <w:t>Designed</w:t>
            </w:r>
          </w:p>
        </w:tc>
        <w:tc>
          <w:tcPr>
            <w:tcW w:type="dxa" w:w="3480"/>
            <w:tcMar>
              <w:top w:w="20" w:type="dxa"/>
              <w:bottom w:w="20" w:type="dxa"/>
              <w:left w:w="40" w:type="dxa"/>
              <w:right w:w="40" w:type="dxa"/>
            </w:tcMar>
          </w:tcPr>
          <w:p>
            <w:r>
              <w:rPr>
                <w:rFonts w:ascii="Times New Roman" w:hAnsi="Times New Roman"/>
                <w:sz w:val="14"/>
              </w:rPr>
              <w:t>Scoring utility in Eq. (7)</w:t>
            </w:r>
          </w:p>
        </w:tc>
      </w:tr>
      <w:tr>
        <w:tc>
          <w:tcPr>
            <w:tcW w:type="dxa" w:w="3480"/>
            <w:tcMar>
              <w:top w:w="20" w:type="dxa"/>
              <w:bottom w:w="20" w:type="dxa"/>
              <w:left w:w="40" w:type="dxa"/>
              <w:right w:w="40" w:type="dxa"/>
            </w:tcMar>
          </w:tcPr>
          <w:p>
            <w:r>
              <w:rPr>
                <w:rFonts w:ascii="Times New Roman" w:hAnsi="Times New Roman"/>
                <w:sz w:val="14"/>
              </w:rPr>
              <w:t>Pattern recurrence analysis</w:t>
            </w:r>
          </w:p>
        </w:tc>
        <w:tc>
          <w:tcPr>
            <w:tcW w:type="dxa" w:w="3480"/>
            <w:tcMar>
              <w:top w:w="20" w:type="dxa"/>
              <w:bottom w:w="20" w:type="dxa"/>
              <w:left w:w="40" w:type="dxa"/>
              <w:right w:w="40" w:type="dxa"/>
            </w:tcMar>
          </w:tcPr>
          <w:p>
            <w:r>
              <w:rPr>
                <w:rFonts w:ascii="Times New Roman" w:hAnsi="Times New Roman"/>
                <w:sz w:val="14"/>
              </w:rPr>
              <w:t>Planned</w:t>
            </w:r>
          </w:p>
        </w:tc>
        <w:tc>
          <w:tcPr>
            <w:tcW w:type="dxa" w:w="3480"/>
            <w:tcMar>
              <w:top w:w="20" w:type="dxa"/>
              <w:bottom w:w="20" w:type="dxa"/>
              <w:left w:w="40" w:type="dxa"/>
              <w:right w:w="40" w:type="dxa"/>
            </w:tcMar>
          </w:tcPr>
          <w:p>
            <w:r>
              <w:rPr>
                <w:rFonts w:ascii="Times New Roman" w:hAnsi="Times New Roman"/>
                <w:sz w:val="14"/>
              </w:rPr>
              <w:t>Evaluation protocol in Section VI</w:t>
            </w:r>
          </w:p>
        </w:tc>
      </w:tr>
    </w:tbl>
    <w:p>
      <w:pPr>
        <w:spacing w:before="0" w:after="40" w:line="247" w:lineRule="auto"/>
        <w:ind w:firstLine="202"/>
        <w:jc w:val="both"/>
      </w:pPr>
      <w:r>
        <w:rPr>
          <w:rFonts w:ascii="Times New Roman" w:hAnsi="Times New Roman"/>
          <w:sz w:val="20"/>
        </w:rPr>
        <w:t>System verification executed on 11 October 2026 confirmed 596 crime rows in SQLite, single administrator initialization, and 11 relational tables. The health endpoint returned database connected status with zero lingering test records.</w:t>
      </w:r>
    </w:p>
    <w:p>
      <w:pPr>
        <w:keepNext/>
        <w:spacing w:before="120" w:after="20"/>
        <w:jc w:val="center"/>
      </w:pPr>
      <w:r>
        <w:rPr>
          <w:rFonts w:ascii="Times New Roman" w:hAnsi="Times New Roman"/>
          <w:sz w:val="16"/>
        </w:rPr>
        <w:t>TABLE VI</w:t>
      </w:r>
    </w:p>
    <w:p>
      <w:pPr>
        <w:keepNext/>
        <w:spacing w:before="0" w:after="60"/>
        <w:jc w:val="center"/>
      </w:pPr>
      <w:r>
        <w:rPr>
          <w:rFonts w:ascii="Times New Roman" w:hAnsi="Times New Roman"/>
          <w:sz w:val="15"/>
        </w:rPr>
        <w:t>VERIFICATION SUMMARY OF THE CRIMES TABLE (N = 596)</w:t>
      </w:r>
    </w:p>
    <w:tbl>
      <w:tblPr>
        <w:tblW w:type="auto" w:w="0"/>
        <w:tblLook w:firstColumn="1" w:firstRow="1" w:lastColumn="0" w:lastRow="0" w:noHBand="0" w:noVBand="1" w:val="04A0"/>
        <w:tblBorders>
          <w:top w:val="single" w:sz="6" w:space="0" w:color="000000"/>
          <w:bottom w:val="single" w:sz="6" w:space="0" w:color="000000"/>
          <w:insideH w:val="single" w:sz="4" w:space="0" w:color="000000"/>
          <w:insideV w:val="none"/>
          <w:left w:val="none"/>
          <w:right w:val="none"/>
        </w:tblBorders>
      </w:tblPr>
      <w:tblGrid>
        <w:gridCol w:w="5220"/>
        <w:gridCol w:w="5220"/>
      </w:tblGrid>
      <w:tr>
        <w:tc>
          <w:tcPr>
            <w:tcW w:type="dxa" w:w="5220"/>
            <w:tcMar>
              <w:top w:w="30" w:type="dxa"/>
              <w:bottom w:w="30" w:type="dxa"/>
              <w:left w:w="50" w:type="dxa"/>
              <w:right w:w="50" w:type="dxa"/>
            </w:tcMar>
          </w:tcPr>
          <w:p>
            <w:r>
              <w:rPr>
                <w:rFonts w:ascii="Times New Roman" w:hAnsi="Times New Roman"/>
                <w:b/>
                <w:sz w:val="15"/>
              </w:rPr>
              <w:t>Audit Check</w:t>
            </w:r>
          </w:p>
        </w:tc>
        <w:tc>
          <w:tcPr>
            <w:tcW w:type="dxa" w:w="5220"/>
            <w:tcMar>
              <w:top w:w="30" w:type="dxa"/>
              <w:bottom w:w="30" w:type="dxa"/>
              <w:left w:w="50" w:type="dxa"/>
              <w:right w:w="50" w:type="dxa"/>
            </w:tcMar>
          </w:tcPr>
          <w:p>
            <w:r>
              <w:rPr>
                <w:rFonts w:ascii="Times New Roman" w:hAnsi="Times New Roman"/>
                <w:b/>
                <w:sz w:val="15"/>
              </w:rPr>
              <w:t>Observed Result</w:t>
            </w:r>
          </w:p>
        </w:tc>
      </w:tr>
      <w:tr>
        <w:tc>
          <w:tcPr>
            <w:tcW w:type="dxa" w:w="5220"/>
            <w:tcMar>
              <w:top w:w="25" w:type="dxa"/>
              <w:bottom w:w="25" w:type="dxa"/>
              <w:left w:w="45" w:type="dxa"/>
              <w:right w:w="45" w:type="dxa"/>
            </w:tcMar>
          </w:tcPr>
          <w:p>
            <w:r>
              <w:rPr>
                <w:rFonts w:ascii="Times New Roman" w:hAnsi="Times New Roman"/>
                <w:sz w:val="14"/>
              </w:rPr>
              <w:t>Records with valid source web link</w:t>
            </w:r>
          </w:p>
        </w:tc>
        <w:tc>
          <w:tcPr>
            <w:tcW w:type="dxa" w:w="5220"/>
            <w:tcMar>
              <w:top w:w="25" w:type="dxa"/>
              <w:bottom w:w="25" w:type="dxa"/>
              <w:left w:w="45" w:type="dxa"/>
              <w:right w:w="45" w:type="dxa"/>
            </w:tcMar>
          </w:tcPr>
          <w:p>
            <w:r>
              <w:rPr>
                <w:rFonts w:ascii="Times New Roman" w:hAnsi="Times New Roman"/>
                <w:sz w:val="14"/>
              </w:rPr>
              <w:t>596 of 596 (100.00%)</w:t>
            </w:r>
          </w:p>
        </w:tc>
      </w:tr>
      <w:tr>
        <w:tc>
          <w:tcPr>
            <w:tcW w:type="dxa" w:w="5220"/>
            <w:tcMar>
              <w:top w:w="25" w:type="dxa"/>
              <w:bottom w:w="25" w:type="dxa"/>
              <w:left w:w="45" w:type="dxa"/>
              <w:right w:w="45" w:type="dxa"/>
            </w:tcMar>
          </w:tcPr>
          <w:p>
            <w:r>
              <w:rPr>
                <w:rFonts w:ascii="Times New Roman" w:hAnsi="Times New Roman"/>
                <w:sz w:val="14"/>
              </w:rPr>
              <w:t>Coordinates inside study bounds</w:t>
            </w:r>
          </w:p>
        </w:tc>
        <w:tc>
          <w:tcPr>
            <w:tcW w:type="dxa" w:w="5220"/>
            <w:tcMar>
              <w:top w:w="25" w:type="dxa"/>
              <w:bottom w:w="25" w:type="dxa"/>
              <w:left w:w="45" w:type="dxa"/>
              <w:right w:w="45" w:type="dxa"/>
            </w:tcMar>
          </w:tcPr>
          <w:p>
            <w:r>
              <w:rPr>
                <w:rFonts w:ascii="Times New Roman" w:hAnsi="Times New Roman"/>
                <w:sz w:val="14"/>
              </w:rPr>
              <w:t>596 of 596 (lat 9.93 to 13.08, lng 76.96 to 80.27)</w:t>
            </w:r>
          </w:p>
        </w:tc>
      </w:tr>
      <w:tr>
        <w:tc>
          <w:tcPr>
            <w:tcW w:type="dxa" w:w="5220"/>
            <w:tcMar>
              <w:top w:w="25" w:type="dxa"/>
              <w:bottom w:w="25" w:type="dxa"/>
              <w:left w:w="45" w:type="dxa"/>
              <w:right w:w="45" w:type="dxa"/>
            </w:tcMar>
          </w:tcPr>
          <w:p>
            <w:r>
              <w:rPr>
                <w:rFonts w:ascii="Times New Roman" w:hAnsi="Times New Roman"/>
                <w:sz w:val="14"/>
              </w:rPr>
              <w:t>Valid standardized ISO dates</w:t>
            </w:r>
          </w:p>
        </w:tc>
        <w:tc>
          <w:tcPr>
            <w:tcW w:type="dxa" w:w="5220"/>
            <w:tcMar>
              <w:top w:w="25" w:type="dxa"/>
              <w:bottom w:w="25" w:type="dxa"/>
              <w:left w:w="45" w:type="dxa"/>
              <w:right w:w="45" w:type="dxa"/>
            </w:tcMar>
          </w:tcPr>
          <w:p>
            <w:r>
              <w:rPr>
                <w:rFonts w:ascii="Times New Roman" w:hAnsi="Times New Roman"/>
                <w:sz w:val="14"/>
              </w:rPr>
              <w:t>596 of 596 (100.00%)</w:t>
            </w:r>
          </w:p>
        </w:tc>
      </w:tr>
      <w:tr>
        <w:tc>
          <w:tcPr>
            <w:tcW w:type="dxa" w:w="5220"/>
            <w:tcMar>
              <w:top w:w="25" w:type="dxa"/>
              <w:bottom w:w="25" w:type="dxa"/>
              <w:left w:w="45" w:type="dxa"/>
              <w:right w:w="45" w:type="dxa"/>
            </w:tcMar>
          </w:tcPr>
          <w:p>
            <w:r>
              <w:rPr>
                <w:rFonts w:ascii="Times New Roman" w:hAnsi="Times New Roman"/>
                <w:sz w:val="14"/>
              </w:rPr>
              <w:t>Duplicate article identifiers</w:t>
            </w:r>
          </w:p>
        </w:tc>
        <w:tc>
          <w:tcPr>
            <w:tcW w:type="dxa" w:w="5220"/>
            <w:tcMar>
              <w:top w:w="25" w:type="dxa"/>
              <w:bottom w:w="25" w:type="dxa"/>
              <w:left w:w="45" w:type="dxa"/>
              <w:right w:w="45" w:type="dxa"/>
            </w:tcMar>
          </w:tcPr>
          <w:p>
            <w:r>
              <w:rPr>
                <w:rFonts w:ascii="Times New Roman" w:hAnsi="Times New Roman"/>
                <w:sz w:val="14"/>
              </w:rPr>
              <w:t>0 (Zero duplicates)</w:t>
            </w:r>
          </w:p>
        </w:tc>
      </w:tr>
      <w:tr>
        <w:tc>
          <w:tcPr>
            <w:tcW w:type="dxa" w:w="5220"/>
            <w:tcMar>
              <w:top w:w="25" w:type="dxa"/>
              <w:bottom w:w="25" w:type="dxa"/>
              <w:left w:w="45" w:type="dxa"/>
              <w:right w:w="45" w:type="dxa"/>
            </w:tcMar>
          </w:tcPr>
          <w:p>
            <w:r>
              <w:rPr>
                <w:rFonts w:ascii="Times New Roman" w:hAnsi="Times New Roman"/>
                <w:sz w:val="14"/>
              </w:rPr>
              <w:t>Severity score spectrum; mean</w:t>
            </w:r>
          </w:p>
        </w:tc>
        <w:tc>
          <w:tcPr>
            <w:tcW w:type="dxa" w:w="5220"/>
            <w:tcMar>
              <w:top w:w="25" w:type="dxa"/>
              <w:bottom w:w="25" w:type="dxa"/>
              <w:left w:w="45" w:type="dxa"/>
              <w:right w:w="45" w:type="dxa"/>
            </w:tcMar>
          </w:tcPr>
          <w:p>
            <w:r>
              <w:rPr>
                <w:rFonts w:ascii="Times New Roman" w:hAnsi="Times New Roman"/>
                <w:sz w:val="14"/>
              </w:rPr>
              <w:t>2.0 to 10.0; Mean: 5.92</w:t>
            </w:r>
          </w:p>
        </w:tc>
      </w:tr>
      <w:tr>
        <w:tc>
          <w:tcPr>
            <w:tcW w:type="dxa" w:w="5220"/>
            <w:tcMar>
              <w:top w:w="25" w:type="dxa"/>
              <w:bottom w:w="25" w:type="dxa"/>
              <w:left w:w="45" w:type="dxa"/>
              <w:right w:w="45" w:type="dxa"/>
            </w:tcMar>
          </w:tcPr>
          <w:p>
            <w:r>
              <w:rPr>
                <w:rFonts w:ascii="Times New Roman" w:hAnsi="Times New Roman"/>
                <w:sz w:val="14"/>
              </w:rPr>
              <w:t>Risk level split (High / Med / Low)</w:t>
            </w:r>
          </w:p>
        </w:tc>
        <w:tc>
          <w:tcPr>
            <w:tcW w:type="dxa" w:w="5220"/>
            <w:tcMar>
              <w:top w:w="25" w:type="dxa"/>
              <w:bottom w:w="25" w:type="dxa"/>
              <w:left w:w="45" w:type="dxa"/>
              <w:right w:w="45" w:type="dxa"/>
            </w:tcMar>
          </w:tcPr>
          <w:p>
            <w:r>
              <w:rPr>
                <w:rFonts w:ascii="Times New Roman" w:hAnsi="Times New Roman"/>
                <w:sz w:val="14"/>
              </w:rPr>
              <w:t>150 High / 138 Medium / 308 Low</w:t>
            </w:r>
          </w:p>
        </w:tc>
      </w:tr>
      <w:tr>
        <w:tc>
          <w:tcPr>
            <w:tcW w:type="dxa" w:w="5220"/>
            <w:tcMar>
              <w:top w:w="25" w:type="dxa"/>
              <w:bottom w:w="25" w:type="dxa"/>
              <w:left w:w="45" w:type="dxa"/>
              <w:right w:w="45" w:type="dxa"/>
            </w:tcMar>
          </w:tcPr>
          <w:p>
            <w:r>
              <w:rPr>
                <w:rFonts w:ascii="Times New Roman" w:hAnsi="Times New Roman"/>
                <w:sz w:val="14"/>
              </w:rPr>
              <w:t>Rows in user, settings, audit tables</w:t>
            </w:r>
          </w:p>
        </w:tc>
        <w:tc>
          <w:tcPr>
            <w:tcW w:type="dxa" w:w="5220"/>
            <w:tcMar>
              <w:top w:w="25" w:type="dxa"/>
              <w:bottom w:w="25" w:type="dxa"/>
              <w:left w:w="45" w:type="dxa"/>
              <w:right w:w="45" w:type="dxa"/>
            </w:tcMar>
          </w:tcPr>
          <w:p>
            <w:r>
              <w:rPr>
                <w:rFonts w:ascii="Times New Roman" w:hAnsi="Times New Roman"/>
                <w:sz w:val="14"/>
              </w:rPr>
              <w:t>1, 1, 6 (Production baseline)</w:t>
            </w:r>
          </w:p>
        </w:tc>
      </w:tr>
    </w:tbl>
    <w:p>
      <w:pPr>
        <w:keepNext/>
        <w:spacing w:before="160" w:after="60"/>
        <w:jc w:val="center"/>
      </w:pPr>
      <w:r>
        <w:rPr>
          <w:rFonts w:ascii="Times New Roman" w:hAnsi="Times New Roman"/>
          <w:b w:val="0"/>
          <w:sz w:val="20"/>
        </w:rPr>
        <w:t>V. DATASET AND CURRENT RESULTS</w:t>
      </w:r>
    </w:p>
    <w:p>
      <w:pPr>
        <w:spacing w:before="0" w:after="40" w:line="247" w:lineRule="auto"/>
        <w:ind w:firstLine="202"/>
        <w:jc w:val="both"/>
      </w:pPr>
      <w:r>
        <w:rPr>
          <w:rFonts w:ascii="Times New Roman" w:hAnsi="Times New Roman"/>
          <w:sz w:val="20"/>
        </w:rPr>
        <w:t>The database contains 596 verified crime incidents. Fig. 7(a) depicts the categorical breakdown: general offenses comprise 277 records (46.5%), followed by murder and homicide (49), contraband and smuggling (46), a distinct murder tag (37), and cyber fraud (28). Fig. 7(b) displays the risk split: 25.2% High risk, 23.2% Medium risk, and 51.7% Low risk.</w:t>
      </w:r>
    </w:p>
    <w:p>
      <w:pPr>
        <w:keepNext/>
        <w:spacing w:before="80" w:after="40"/>
        <w:jc w:val="center"/>
      </w:pPr>
      <w:r>
        <w:drawing>
          <wp:inline xmlns:a="http://schemas.openxmlformats.org/drawingml/2006/main" xmlns:pic="http://schemas.openxmlformats.org/drawingml/2006/picture">
            <wp:extent cx="3063240" cy="1508057"/>
            <wp:docPr id="7" name="Picture 7"/>
            <wp:cNvGraphicFramePr>
              <a:graphicFrameLocks noChangeAspect="1"/>
            </wp:cNvGraphicFramePr>
            <a:graphic>
              <a:graphicData uri="http://schemas.openxmlformats.org/drawingml/2006/picture">
                <pic:pic>
                  <pic:nvPicPr>
                    <pic:cNvPr id="0" name="fig7_dataset_charts.png"/>
                    <pic:cNvPicPr/>
                  </pic:nvPicPr>
                  <pic:blipFill>
                    <a:blip r:embed="rId15"/>
                    <a:stretch>
                      <a:fillRect/>
                    </a:stretch>
                  </pic:blipFill>
                  <pic:spPr>
                    <a:xfrm>
                      <a:off x="0" y="0"/>
                      <a:ext cx="3063240" cy="1508057"/>
                    </a:xfrm>
                    <a:prstGeom prst="rect"/>
                  </pic:spPr>
                </pic:pic>
              </a:graphicData>
            </a:graphic>
          </wp:inline>
        </w:drawing>
      </w:r>
    </w:p>
    <w:p>
      <w:pPr>
        <w:spacing w:before="0" w:after="100" w:line="240" w:lineRule="auto"/>
        <w:jc w:val="left"/>
      </w:pPr>
      <w:r>
        <w:rPr>
          <w:rFonts w:ascii="Times New Roman" w:hAnsi="Times New Roman"/>
          <w:b w:val="0"/>
          <w:sz w:val="16"/>
        </w:rPr>
        <w:t xml:space="preserve">Fig. 7. </w:t>
      </w:r>
      <w:r>
        <w:rPr>
          <w:rFonts w:ascii="Times New Roman" w:hAnsi="Times New Roman"/>
          <w:sz w:val="16"/>
        </w:rPr>
        <w:t>Current database: (a) crime-type labels; (b) risk-level split.</w:t>
      </w:r>
    </w:p>
    <w:p>
      <w:pPr>
        <w:spacing w:before="0" w:after="40" w:line="247" w:lineRule="auto"/>
        <w:ind w:firstLine="202"/>
        <w:jc w:val="both"/>
      </w:pPr>
      <w:r>
        <w:rPr>
          <w:rFonts w:ascii="Times New Roman" w:hAnsi="Times New Roman"/>
          <w:sz w:val="20"/>
        </w:rPr>
        <w:t>These empirical figures establish three observations. First, the prevalence of general offences highlights the necessity of finer taxonomies for granular recurrence modeling. Second, merging overlapping murder labels consolidates 86 severe offenses under a single tag. Third, geocoding operates at locality scale, meaning records within a single town share centroid coordinates, so risk scoring is valid at neighbourhood rather than street number resolution.</w:t>
      </w:r>
    </w:p>
    <w:p>
      <w:pPr>
        <w:keepNext/>
        <w:spacing w:before="160" w:after="60"/>
        <w:jc w:val="center"/>
      </w:pPr>
      <w:r>
        <w:rPr>
          <w:rFonts w:ascii="Times New Roman" w:hAnsi="Times New Roman"/>
          <w:b w:val="0"/>
          <w:sz w:val="20"/>
        </w:rPr>
        <w:t>VI. PROPOSED EVALUATION PROTOCOL</w:t>
      </w:r>
    </w:p>
    <w:p>
      <w:pPr>
        <w:spacing w:before="0" w:after="40" w:line="247" w:lineRule="auto"/>
        <w:ind w:firstLine="202"/>
        <w:jc w:val="both"/>
      </w:pPr>
      <w:r>
        <w:rPr>
          <w:rFonts w:ascii="Times New Roman" w:hAnsi="Times New Roman"/>
          <w:sz w:val="20"/>
        </w:rPr>
        <w:t>To ensure reproducible benchmarking, we pre-define evaluation metrics and thresholds (Table VII). Predictive evaluations use rolling temporal splits: records before cutoff date t0 form the training surface, and incidents in the subsequent three months serve as test sets. On a 500 m grid, hit rate measures the fraction of test incidents falling within red cells, compared via the Predictive Accuracy Index [5]:</w:t>
      </w:r>
    </w:p>
    <w:p>
      <w:pPr>
        <w:spacing w:before="40" w:after="40"/>
        <w:jc w:val="both"/>
      </w:pPr>
      <w:r>
        <w:rPr>
          <w:rFonts w:ascii="Times New Roman" w:hAnsi="Times New Roman"/>
          <w:i/>
          <w:sz w:val="18"/>
        </w:rPr>
        <w:t xml:space="preserve">   PAI = (n / N) / (a / A)</w:t>
      </w:r>
      <w:r>
        <w:rPr>
          <w:rFonts w:ascii="Times New Roman" w:hAnsi="Times New Roman"/>
          <w:i w:val="0"/>
          <w:sz w:val="18"/>
        </w:rPr>
        <w:tab/>
        <w:t>(8)</w:t>
      </w:r>
    </w:p>
    <w:p>
      <w:pPr>
        <w:spacing w:before="0" w:after="40" w:line="247" w:lineRule="auto"/>
        <w:ind w:firstLine="202"/>
        <w:jc w:val="both"/>
      </w:pPr>
      <w:r>
        <w:rPr>
          <w:rFonts w:ascii="Times New Roman" w:hAnsi="Times New Roman"/>
          <w:sz w:val="20"/>
        </w:rPr>
        <w:t>where n of N test crimes fall in red cells covering area a out of total area A. Thresholds are calibrated on initial splits and reported where red cells cover at most 10% of the urban terrain.</w:t>
      </w:r>
    </w:p>
    <w:p>
      <w:pPr>
        <w:keepNext/>
        <w:spacing w:before="120" w:after="20"/>
        <w:jc w:val="center"/>
      </w:pPr>
      <w:r>
        <w:rPr>
          <w:rFonts w:ascii="Times New Roman" w:hAnsi="Times New Roman"/>
          <w:sz w:val="16"/>
        </w:rPr>
        <w:t>TABLE VII</w:t>
      </w:r>
    </w:p>
    <w:p>
      <w:pPr>
        <w:keepNext/>
        <w:spacing w:before="0" w:after="60"/>
        <w:jc w:val="center"/>
      </w:pPr>
      <w:r>
        <w:rPr>
          <w:rFonts w:ascii="Times New Roman" w:hAnsi="Times New Roman"/>
          <w:sz w:val="15"/>
        </w:rPr>
        <w:t>STANDARDIZED EVALUATION PROTOCOL</w:t>
      </w:r>
    </w:p>
    <w:tbl>
      <w:tblPr>
        <w:tblW w:type="auto" w:w="0"/>
        <w:tblLook w:firstColumn="1" w:firstRow="1" w:lastColumn="0" w:lastRow="0" w:noHBand="0" w:noVBand="1" w:val="04A0"/>
        <w:tblBorders>
          <w:top w:val="single" w:sz="6" w:space="0" w:color="000000"/>
          <w:bottom w:val="single" w:sz="6" w:space="0" w:color="000000"/>
          <w:insideH w:val="single" w:sz="4" w:space="0" w:color="000000"/>
          <w:insideV w:val="none"/>
          <w:left w:val="none"/>
          <w:right w:val="none"/>
        </w:tblBorders>
      </w:tblPr>
      <w:tblGrid>
        <w:gridCol w:w="3480"/>
        <w:gridCol w:w="3480"/>
        <w:gridCol w:w="3480"/>
      </w:tblGrid>
      <w:tr>
        <w:tc>
          <w:tcPr>
            <w:tcW w:type="dxa" w:w="3480"/>
            <w:tcMar>
              <w:top w:w="30" w:type="dxa"/>
              <w:bottom w:w="30" w:type="dxa"/>
              <w:left w:w="50" w:type="dxa"/>
              <w:right w:w="50" w:type="dxa"/>
            </w:tcMar>
          </w:tcPr>
          <w:p>
            <w:r>
              <w:rPr>
                <w:rFonts w:ascii="Times New Roman" w:hAnsi="Times New Roman"/>
                <w:b/>
                <w:sz w:val="15"/>
              </w:rPr>
              <w:t>Module</w:t>
            </w:r>
          </w:p>
        </w:tc>
        <w:tc>
          <w:tcPr>
            <w:tcW w:type="dxa" w:w="3480"/>
            <w:tcMar>
              <w:top w:w="30" w:type="dxa"/>
              <w:bottom w:w="30" w:type="dxa"/>
              <w:left w:w="50" w:type="dxa"/>
              <w:right w:w="50" w:type="dxa"/>
            </w:tcMar>
          </w:tcPr>
          <w:p>
            <w:r>
              <w:rPr>
                <w:rFonts w:ascii="Times New Roman" w:hAnsi="Times New Roman"/>
                <w:b/>
                <w:sz w:val="15"/>
              </w:rPr>
              <w:t>Evaluation Metric</w:t>
            </w:r>
          </w:p>
        </w:tc>
        <w:tc>
          <w:tcPr>
            <w:tcW w:type="dxa" w:w="3480"/>
            <w:tcMar>
              <w:top w:w="30" w:type="dxa"/>
              <w:bottom w:w="30" w:type="dxa"/>
              <w:left w:w="50" w:type="dxa"/>
              <w:right w:w="50" w:type="dxa"/>
            </w:tcMar>
          </w:tcPr>
          <w:p>
            <w:r>
              <w:rPr>
                <w:rFonts w:ascii="Times New Roman" w:hAnsi="Times New Roman"/>
                <w:b/>
                <w:sz w:val="15"/>
              </w:rPr>
              <w:t>Protocol Details</w:t>
            </w:r>
          </w:p>
        </w:tc>
      </w:tr>
      <w:tr>
        <w:tc>
          <w:tcPr>
            <w:tcW w:type="dxa" w:w="3480"/>
            <w:tcMar>
              <w:top w:w="25" w:type="dxa"/>
              <w:bottom w:w="25" w:type="dxa"/>
              <w:left w:w="45" w:type="dxa"/>
              <w:right w:w="45" w:type="dxa"/>
            </w:tcMar>
          </w:tcPr>
          <w:p>
            <w:r>
              <w:rPr>
                <w:rFonts w:ascii="Times New Roman" w:hAnsi="Times New Roman"/>
                <w:sz w:val="14"/>
              </w:rPr>
              <w:t>Zone model</w:t>
            </w:r>
          </w:p>
        </w:tc>
        <w:tc>
          <w:tcPr>
            <w:tcW w:type="dxa" w:w="3480"/>
            <w:tcMar>
              <w:top w:w="25" w:type="dxa"/>
              <w:bottom w:w="25" w:type="dxa"/>
              <w:left w:w="45" w:type="dxa"/>
              <w:right w:w="45" w:type="dxa"/>
            </w:tcMar>
          </w:tcPr>
          <w:p>
            <w:r>
              <w:rPr>
                <w:rFonts w:ascii="Times New Roman" w:hAnsi="Times New Roman"/>
                <w:sz w:val="14"/>
              </w:rPr>
              <w:t>Hit rate, PAI at red area ≤10%; Cohen's kappa</w:t>
            </w:r>
          </w:p>
        </w:tc>
        <w:tc>
          <w:tcPr>
            <w:tcW w:type="dxa" w:w="3480"/>
            <w:tcMar>
              <w:top w:w="25" w:type="dxa"/>
              <w:bottom w:w="25" w:type="dxa"/>
              <w:left w:w="45" w:type="dxa"/>
              <w:right w:w="45" w:type="dxa"/>
            </w:tcMar>
          </w:tcPr>
          <w:p>
            <w:r>
              <w:rPr>
                <w:rFonts w:ascii="Times New Roman" w:hAnsi="Times New Roman"/>
                <w:sz w:val="14"/>
              </w:rPr>
              <w:t>Rolling temporal split; two local raters on sampled places</w:t>
            </w:r>
          </w:p>
        </w:tc>
      </w:tr>
      <w:tr>
        <w:tc>
          <w:tcPr>
            <w:tcW w:type="dxa" w:w="3480"/>
            <w:tcMar>
              <w:top w:w="25" w:type="dxa"/>
              <w:bottom w:w="25" w:type="dxa"/>
              <w:left w:w="45" w:type="dxa"/>
              <w:right w:w="45" w:type="dxa"/>
            </w:tcMar>
          </w:tcPr>
          <w:p>
            <w:r>
              <w:rPr>
                <w:rFonts w:ascii="Times New Roman" w:hAnsi="Times New Roman"/>
                <w:sz w:val="14"/>
              </w:rPr>
              <w:t>Hotspots</w:t>
            </w:r>
          </w:p>
        </w:tc>
        <w:tc>
          <w:tcPr>
            <w:tcW w:type="dxa" w:w="3480"/>
            <w:tcMar>
              <w:top w:w="25" w:type="dxa"/>
              <w:bottom w:w="25" w:type="dxa"/>
              <w:left w:w="45" w:type="dxa"/>
              <w:right w:w="45" w:type="dxa"/>
            </w:tcMar>
          </w:tcPr>
          <w:p>
            <w:r>
              <w:rPr>
                <w:rFonts w:ascii="Times New Roman" w:hAnsi="Times New Roman"/>
                <w:sz w:val="14"/>
              </w:rPr>
              <w:t>Cluster count and stability versus (ε, m)</w:t>
            </w:r>
          </w:p>
        </w:tc>
        <w:tc>
          <w:tcPr>
            <w:tcW w:type="dxa" w:w="3480"/>
            <w:tcMar>
              <w:top w:w="25" w:type="dxa"/>
              <w:bottom w:w="25" w:type="dxa"/>
              <w:left w:w="45" w:type="dxa"/>
              <w:right w:w="45" w:type="dxa"/>
            </w:tcMar>
          </w:tcPr>
          <w:p>
            <w:r>
              <w:rPr>
                <w:rFonts w:ascii="Times New Roman" w:hAnsi="Times New Roman"/>
                <w:sz w:val="14"/>
              </w:rPr>
              <w:t>Parameter sweep over ε and m grid</w:t>
            </w:r>
          </w:p>
        </w:tc>
      </w:tr>
      <w:tr>
        <w:tc>
          <w:tcPr>
            <w:tcW w:type="dxa" w:w="3480"/>
            <w:tcMar>
              <w:top w:w="25" w:type="dxa"/>
              <w:bottom w:w="25" w:type="dxa"/>
              <w:left w:w="45" w:type="dxa"/>
              <w:right w:w="45" w:type="dxa"/>
            </w:tcMar>
          </w:tcPr>
          <w:p>
            <w:r>
              <w:rPr>
                <w:rFonts w:ascii="Times New Roman" w:hAnsi="Times New Roman"/>
                <w:sz w:val="14"/>
              </w:rPr>
              <w:t>Recurrence</w:t>
            </w:r>
          </w:p>
        </w:tc>
        <w:tc>
          <w:tcPr>
            <w:tcW w:type="dxa" w:w="3480"/>
            <w:tcMar>
              <w:top w:w="25" w:type="dxa"/>
              <w:bottom w:w="25" w:type="dxa"/>
              <w:left w:w="45" w:type="dxa"/>
              <w:right w:w="45" w:type="dxa"/>
            </w:tcMar>
          </w:tcPr>
          <w:p>
            <w:r>
              <w:rPr>
                <w:rFonts w:ascii="Times New Roman" w:hAnsi="Times New Roman"/>
                <w:sz w:val="14"/>
              </w:rPr>
              <w:t>Near repeat ratio; permutation p (999 runs); lift</w:t>
            </w:r>
          </w:p>
        </w:tc>
        <w:tc>
          <w:tcPr>
            <w:tcW w:type="dxa" w:w="3480"/>
            <w:tcMar>
              <w:top w:w="25" w:type="dxa"/>
              <w:bottom w:w="25" w:type="dxa"/>
              <w:left w:w="45" w:type="dxa"/>
              <w:right w:w="45" w:type="dxa"/>
            </w:tcMar>
          </w:tcPr>
          <w:p>
            <w:r>
              <w:rPr>
                <w:rFonts w:ascii="Times New Roman" w:hAnsi="Times New Roman"/>
                <w:sz w:val="14"/>
              </w:rPr>
              <w:t>Candidate space time windows on deduplicated data</w:t>
            </w:r>
          </w:p>
        </w:tc>
      </w:tr>
      <w:tr>
        <w:tc>
          <w:tcPr>
            <w:tcW w:type="dxa" w:w="3480"/>
            <w:tcMar>
              <w:top w:w="25" w:type="dxa"/>
              <w:bottom w:w="25" w:type="dxa"/>
              <w:left w:w="45" w:type="dxa"/>
              <w:right w:w="45" w:type="dxa"/>
            </w:tcMar>
          </w:tcPr>
          <w:p>
            <w:r>
              <w:rPr>
                <w:rFonts w:ascii="Times New Roman" w:hAnsi="Times New Roman"/>
                <w:sz w:val="14"/>
              </w:rPr>
              <w:t>Haven finder</w:t>
            </w:r>
          </w:p>
        </w:tc>
        <w:tc>
          <w:tcPr>
            <w:tcW w:type="dxa" w:w="3480"/>
            <w:tcMar>
              <w:top w:w="25" w:type="dxa"/>
              <w:bottom w:w="25" w:type="dxa"/>
              <w:left w:w="45" w:type="dxa"/>
              <w:right w:w="45" w:type="dxa"/>
            </w:tcMar>
          </w:tcPr>
          <w:p>
            <w:r>
              <w:rPr>
                <w:rFonts w:ascii="Times New Roman" w:hAnsi="Times New Roman"/>
                <w:sz w:val="14"/>
              </w:rPr>
              <w:t>Valid@5 accuracy; median walk to first open haven</w:t>
            </w:r>
          </w:p>
        </w:tc>
        <w:tc>
          <w:tcPr>
            <w:tcW w:type="dxa" w:w="3480"/>
            <w:tcMar>
              <w:top w:w="25" w:type="dxa"/>
              <w:bottom w:w="25" w:type="dxa"/>
              <w:left w:w="45" w:type="dxa"/>
              <w:right w:w="45" w:type="dxa"/>
            </w:tcMar>
          </w:tcPr>
          <w:p>
            <w:r>
              <w:rPr>
                <w:rFonts w:ascii="Times New Roman" w:hAnsi="Times New Roman"/>
                <w:sz w:val="14"/>
              </w:rPr>
              <w:t>Field verification audit across sampled query points</w:t>
            </w:r>
          </w:p>
        </w:tc>
      </w:tr>
      <w:tr>
        <w:tc>
          <w:tcPr>
            <w:tcW w:type="dxa" w:w="3480"/>
            <w:tcMar>
              <w:top w:w="25" w:type="dxa"/>
              <w:bottom w:w="25" w:type="dxa"/>
              <w:left w:w="45" w:type="dxa"/>
              <w:right w:w="45" w:type="dxa"/>
            </w:tcMar>
          </w:tcPr>
          <w:p>
            <w:r>
              <w:rPr>
                <w:rFonts w:ascii="Times New Roman" w:hAnsi="Times New Roman"/>
                <w:sz w:val="14"/>
              </w:rPr>
              <w:t>SOS escalation</w:t>
            </w:r>
          </w:p>
        </w:tc>
        <w:tc>
          <w:tcPr>
            <w:tcW w:type="dxa" w:w="3480"/>
            <w:tcMar>
              <w:top w:w="25" w:type="dxa"/>
              <w:bottom w:w="25" w:type="dxa"/>
              <w:left w:w="45" w:type="dxa"/>
              <w:right w:w="45" w:type="dxa"/>
            </w:tcMar>
          </w:tcPr>
          <w:p>
            <w:r>
              <w:rPr>
                <w:rFonts w:ascii="Times New Roman" w:hAnsi="Times New Roman"/>
                <w:sz w:val="14"/>
              </w:rPr>
              <w:t>Trigger to dispatch latency (p50, p95); false alarms</w:t>
            </w:r>
          </w:p>
        </w:tc>
        <w:tc>
          <w:tcPr>
            <w:tcW w:type="dxa" w:w="3480"/>
            <w:tcMar>
              <w:top w:w="25" w:type="dxa"/>
              <w:bottom w:w="25" w:type="dxa"/>
              <w:left w:w="45" w:type="dxa"/>
              <w:right w:w="45" w:type="dxa"/>
            </w:tcMar>
          </w:tcPr>
          <w:p>
            <w:r>
              <w:rPr>
                <w:rFonts w:ascii="Times New Roman" w:hAnsi="Times New Roman"/>
                <w:sz w:val="14"/>
              </w:rPr>
              <w:t>Scripted GPS trajectory playback on sandbox database</w:t>
            </w:r>
          </w:p>
        </w:tc>
      </w:tr>
      <w:tr>
        <w:tc>
          <w:tcPr>
            <w:tcW w:type="dxa" w:w="3480"/>
            <w:tcMar>
              <w:top w:w="25" w:type="dxa"/>
              <w:bottom w:w="25" w:type="dxa"/>
              <w:left w:w="45" w:type="dxa"/>
              <w:right w:w="45" w:type="dxa"/>
            </w:tcMar>
          </w:tcPr>
          <w:p>
            <w:r>
              <w:rPr>
                <w:rFonts w:ascii="Times New Roman" w:hAnsi="Times New Roman"/>
                <w:sz w:val="14"/>
              </w:rPr>
              <w:t>Access control</w:t>
            </w:r>
          </w:p>
        </w:tc>
        <w:tc>
          <w:tcPr>
            <w:tcW w:type="dxa" w:w="3480"/>
            <w:tcMar>
              <w:top w:w="25" w:type="dxa"/>
              <w:bottom w:w="25" w:type="dxa"/>
              <w:left w:w="45" w:type="dxa"/>
              <w:right w:w="45" w:type="dxa"/>
            </w:tcMar>
          </w:tcPr>
          <w:p>
            <w:r>
              <w:rPr>
                <w:rFonts w:ascii="Times New Roman" w:hAnsi="Times New Roman"/>
                <w:sz w:val="14"/>
              </w:rPr>
              <w:t>Cross account reads blocked; 403 on admin routes</w:t>
            </w:r>
          </w:p>
        </w:tc>
        <w:tc>
          <w:tcPr>
            <w:tcW w:type="dxa" w:w="3480"/>
            <w:tcMar>
              <w:top w:w="25" w:type="dxa"/>
              <w:bottom w:w="25" w:type="dxa"/>
              <w:left w:w="45" w:type="dxa"/>
              <w:right w:w="45" w:type="dxa"/>
            </w:tcMar>
          </w:tcPr>
          <w:p>
            <w:r>
              <w:rPr>
                <w:rFonts w:ascii="Times New Roman" w:hAnsi="Times New Roman"/>
                <w:sz w:val="14"/>
              </w:rPr>
              <w:t>Two test resident accounts plus one administrator</w:t>
            </w:r>
          </w:p>
        </w:tc>
      </w:tr>
      <w:tr>
        <w:tc>
          <w:tcPr>
            <w:tcW w:type="dxa" w:w="3480"/>
            <w:tcMar>
              <w:top w:w="25" w:type="dxa"/>
              <w:bottom w:w="25" w:type="dxa"/>
              <w:left w:w="45" w:type="dxa"/>
              <w:right w:w="45" w:type="dxa"/>
            </w:tcMar>
          </w:tcPr>
          <w:p>
            <w:r>
              <w:rPr>
                <w:rFonts w:ascii="Times New Roman" w:hAnsi="Times New Roman"/>
                <w:sz w:val="14"/>
              </w:rPr>
              <w:t>Usability</w:t>
            </w:r>
          </w:p>
        </w:tc>
        <w:tc>
          <w:tcPr>
            <w:tcW w:type="dxa" w:w="3480"/>
            <w:tcMar>
              <w:top w:w="25" w:type="dxa"/>
              <w:bottom w:w="25" w:type="dxa"/>
              <w:left w:w="45" w:type="dxa"/>
              <w:right w:w="45" w:type="dxa"/>
            </w:tcMar>
          </w:tcPr>
          <w:p>
            <w:r>
              <w:rPr>
                <w:rFonts w:ascii="Times New Roman" w:hAnsi="Times New Roman"/>
                <w:sz w:val="14"/>
              </w:rPr>
              <w:t>System Usability Scale [43]; task completion rate</w:t>
            </w:r>
          </w:p>
        </w:tc>
        <w:tc>
          <w:tcPr>
            <w:tcW w:type="dxa" w:w="3480"/>
            <w:tcMar>
              <w:top w:w="25" w:type="dxa"/>
              <w:bottom w:w="25" w:type="dxa"/>
              <w:left w:w="45" w:type="dxa"/>
              <w:right w:w="45" w:type="dxa"/>
            </w:tcMar>
          </w:tcPr>
          <w:p>
            <w:r>
              <w:rPr>
                <w:rFonts w:ascii="Times New Roman" w:hAnsi="Times New Roman"/>
                <w:sz w:val="14"/>
              </w:rPr>
              <w:t>15 or more participants performing search and SOS tasks</w:t>
            </w:r>
          </w:p>
        </w:tc>
      </w:tr>
    </w:tbl>
    <w:p>
      <w:pPr>
        <w:spacing w:before="0" w:after="40" w:line="247" w:lineRule="auto"/>
        <w:ind w:firstLine="202"/>
        <w:jc w:val="both"/>
      </w:pPr>
      <w:r>
        <w:rPr>
          <w:rFonts w:ascii="Times New Roman" w:hAnsi="Times New Roman"/>
          <w:sz w:val="20"/>
        </w:rPr>
        <w:t>Reporting these metrics with confidence bounds addresses recognized gaps in spatial criminology literature regarding reproducible operating baselines [18].</w:t>
      </w:r>
    </w:p>
    <w:p>
      <w:pPr>
        <w:keepNext/>
        <w:spacing w:before="160" w:after="60"/>
        <w:jc w:val="center"/>
      </w:pPr>
      <w:r>
        <w:rPr>
          <w:rFonts w:ascii="Times New Roman" w:hAnsi="Times New Roman"/>
          <w:b w:val="0"/>
          <w:sz w:val="20"/>
        </w:rPr>
        <w:t>VII. DISCUSSION</w:t>
      </w:r>
    </w:p>
    <w:p>
      <w:pPr>
        <w:keepNext/>
        <w:spacing w:before="120" w:after="40"/>
        <w:jc w:val="left"/>
      </w:pPr>
      <w:r>
        <w:rPr>
          <w:rFonts w:ascii="Times New Roman" w:hAnsi="Times New Roman"/>
          <w:i/>
          <w:sz w:val="19"/>
        </w:rPr>
        <w:t>A. What Is New</w:t>
      </w:r>
    </w:p>
    <w:p>
      <w:pPr>
        <w:spacing w:before="0" w:after="40" w:line="247" w:lineRule="auto"/>
        <w:ind w:firstLine="202"/>
        <w:jc w:val="both"/>
      </w:pPr>
      <w:r>
        <w:rPr>
          <w:rFonts w:ascii="Times New Roman" w:hAnsi="Times New Roman"/>
          <w:sz w:val="20"/>
        </w:rPr>
        <w:t>Core elements of spatial crime analysis, near repeat testing, safe routing, and emergency alerting possess established research literatures. CrimeSense synthesizes these components around a single shared evidence base: the same verified incident record informs an administrative analyst, a citizen checking a prospective travel route, and an autonomous service monitoring red zone dwell times. The haven finder and pre-visit advisory convert static maps into immediate civilian protection, while dwell escalation resolves scenarios where victims are physically incapacitated.</w:t>
      </w:r>
    </w:p>
    <w:p>
      <w:pPr>
        <w:keepNext/>
        <w:spacing w:before="120" w:after="40"/>
        <w:jc w:val="left"/>
      </w:pPr>
      <w:r>
        <w:rPr>
          <w:rFonts w:ascii="Times New Roman" w:hAnsi="Times New Roman"/>
          <w:i/>
          <w:sz w:val="19"/>
        </w:rPr>
        <w:t>B. Ethics and Responsible Use</w:t>
      </w:r>
    </w:p>
    <w:p>
      <w:pPr>
        <w:spacing w:before="0" w:after="40" w:line="247" w:lineRule="auto"/>
        <w:ind w:firstLine="202"/>
        <w:jc w:val="both"/>
      </w:pPr>
      <w:r>
        <w:rPr>
          <w:rFonts w:ascii="Times New Roman" w:hAnsi="Times New Roman"/>
          <w:sz w:val="20"/>
        </w:rPr>
        <w:t>Assigning risk labels to urban sectors risks stigmatizing communities and amplifying data biases [30], [31], [32]. CrimeSense mitigates these harms by framing zones objectively as 'reported incidents', displaying report counts and source links transparently, avoiding pejorative terms like 'unsafe', stating clearly that green zones do not guarantee absolute safety, and excluding automated outputs from punitive policing loops [32]. Confirmation challenges and cooldown timers prevent alert fatigue.</w:t>
      </w:r>
    </w:p>
    <w:p>
      <w:pPr>
        <w:keepNext/>
        <w:spacing w:before="120" w:after="40"/>
        <w:jc w:val="left"/>
      </w:pPr>
      <w:r>
        <w:rPr>
          <w:rFonts w:ascii="Times New Roman" w:hAnsi="Times New Roman"/>
          <w:i/>
          <w:sz w:val="19"/>
        </w:rPr>
        <w:t>C. Limitations and Threats to Validity</w:t>
      </w:r>
    </w:p>
    <w:p>
      <w:pPr>
        <w:spacing w:before="0" w:after="40" w:line="247" w:lineRule="auto"/>
        <w:ind w:firstLine="202"/>
        <w:jc w:val="both"/>
      </w:pPr>
      <w:r>
        <w:rPr>
          <w:rFonts w:ascii="Times New Roman" w:hAnsi="Times New Roman"/>
          <w:sz w:val="20"/>
        </w:rPr>
        <w:t>News sourced datasets reflect journalistic coverage choices, which over represent unusual or severe offenses relative to minor infractions [11]. Locality centroid coordinates limit spatial precision [24], [25]. The severity score table is expert assigned rather than calibrated on longitudinal outcome metrics. OpenStreetMap haven records inherit volunteer mapping variations, and automated browser push notifications depend upon active browser lifecycles and mobile connectivity.</w:t>
      </w:r>
    </w:p>
    <w:p>
      <w:pPr>
        <w:keepNext/>
        <w:spacing w:before="160" w:after="60"/>
        <w:jc w:val="center"/>
      </w:pPr>
      <w:r>
        <w:rPr>
          <w:rFonts w:ascii="Times New Roman" w:hAnsi="Times New Roman"/>
          <w:b w:val="0"/>
          <w:sz w:val="20"/>
        </w:rPr>
        <w:t>VIII. CONCLUSION AND FUTURE WORK</w:t>
      </w:r>
    </w:p>
    <w:p>
      <w:pPr>
        <w:spacing w:before="0" w:after="40" w:line="247" w:lineRule="auto"/>
        <w:ind w:firstLine="202"/>
        <w:jc w:val="both"/>
      </w:pPr>
      <w:r>
        <w:rPr>
          <w:rFonts w:ascii="Times New Roman" w:hAnsi="Times New Roman"/>
          <w:sz w:val="20"/>
        </w:rPr>
        <w:t>CrimeSense establishes a unified platform uniting spatial crime visualization and proactive civilian safety over an authoritative database of 596 verified news records for Vellore. Database integrity, authentication, role enforcement, and persistence have been verified. Mathematical formulations for zone classification, destination advisories, safe haven discovery, and pattern recurrence are established alongside an empirical benchmarking protocol. Future work will execute rolling temporal evaluations, refine geocoding resolution, conduct physical safe haven audits, and evaluate user cognitive load through structured field usability trials.</w:t>
      </w:r>
    </w:p>
    <w:p>
      <w:pPr>
        <w:keepNext/>
        <w:spacing w:before="160" w:after="60"/>
        <w:jc w:val="center"/>
      </w:pPr>
      <w:r>
        <w:rPr>
          <w:rFonts w:ascii="Times New Roman" w:hAnsi="Times New Roman"/>
          <w:b w:val="0"/>
          <w:sz w:val="20"/>
        </w:rPr>
        <w:t>REFERENCES</w:t>
      </w:r>
    </w:p>
    <w:p>
      <w:pPr>
        <w:spacing w:before="0" w:after="40" w:line="240" w:lineRule="auto"/>
        <w:ind w:left="288" w:hanging="288"/>
        <w:jc w:val="both"/>
      </w:pPr>
      <w:r>
        <w:rPr>
          <w:rFonts w:ascii="Times New Roman" w:hAnsi="Times New Roman"/>
          <w:sz w:val="16"/>
        </w:rPr>
        <w:t>[1] D. Weisburd, "The law of crime concentration and the criminology of place," Criminology, vol. 53, no. 2, pp. 133–157, 2015.</w:t>
      </w:r>
    </w:p>
    <w:p>
      <w:pPr>
        <w:spacing w:before="0" w:after="40" w:line="240" w:lineRule="auto"/>
        <w:ind w:left="288" w:hanging="288"/>
        <w:jc w:val="both"/>
      </w:pPr>
      <w:r>
        <w:rPr>
          <w:rFonts w:ascii="Times New Roman" w:hAnsi="Times New Roman"/>
          <w:sz w:val="16"/>
        </w:rPr>
        <w:t>[2] L. W. Sherman, P. R. Gartin, and M. E. Buerger, "Hot spots of predatory crime: Routine activities and the criminology of place," Criminology, vol. 27, no. 1, pp. 27–56, 1989.</w:t>
      </w:r>
    </w:p>
    <w:p>
      <w:pPr>
        <w:spacing w:before="0" w:after="40" w:line="240" w:lineRule="auto"/>
        <w:ind w:left="288" w:hanging="288"/>
        <w:jc w:val="both"/>
      </w:pPr>
      <w:r>
        <w:rPr>
          <w:rFonts w:ascii="Times New Roman" w:hAnsi="Times New Roman"/>
          <w:sz w:val="16"/>
        </w:rPr>
        <w:t>[3] L. E. Cohen and M. Felson, "Social change and crime rate trends: A routine activity approach," Amer. Sociol. Rev., vol. 44, no. 4, pp. 588–608, 1979.</w:t>
      </w:r>
    </w:p>
    <w:p>
      <w:pPr>
        <w:spacing w:before="0" w:after="40" w:line="240" w:lineRule="auto"/>
        <w:ind w:left="288" w:hanging="288"/>
        <w:jc w:val="both"/>
      </w:pPr>
      <w:r>
        <w:rPr>
          <w:rFonts w:ascii="Times New Roman" w:hAnsi="Times New Roman"/>
          <w:sz w:val="16"/>
        </w:rPr>
        <w:t>[4] P. J. Brantingham and P. L. Brantingham, Patterns in Crime. New York, NY, USA: Macmillan, 1984.</w:t>
      </w:r>
    </w:p>
    <w:p>
      <w:pPr>
        <w:spacing w:before="0" w:after="40" w:line="240" w:lineRule="auto"/>
        <w:ind w:left="288" w:hanging="288"/>
        <w:jc w:val="both"/>
      </w:pPr>
      <w:r>
        <w:rPr>
          <w:rFonts w:ascii="Times New Roman" w:hAnsi="Times New Roman"/>
          <w:sz w:val="16"/>
        </w:rPr>
        <w:t>[5] S. Chainey, L. Tompson, and S. Uhlig, "The utility of hotspot mapping for predicting spatial patterns of crime," Secur. J., vol. 21, no. 1–2, pp. 4–28, 2008.</w:t>
      </w:r>
    </w:p>
    <w:p>
      <w:pPr>
        <w:spacing w:before="0" w:after="40" w:line="240" w:lineRule="auto"/>
        <w:ind w:left="288" w:hanging="288"/>
        <w:jc w:val="both"/>
      </w:pPr>
      <w:r>
        <w:rPr>
          <w:rFonts w:ascii="Times New Roman" w:hAnsi="Times New Roman"/>
          <w:sz w:val="16"/>
        </w:rPr>
        <w:t>[6] A. A. Braga, B. S. Turchan, A. V. Papachristos, and D. M. Hureau, "Hot spots policing of small geographic areas effects on crime," Campbell Syst. Rev., vol. 15, no. 3, Art. no. e1046, 2019.</w:t>
      </w:r>
    </w:p>
    <w:p>
      <w:pPr>
        <w:spacing w:before="0" w:after="40" w:line="240" w:lineRule="auto"/>
        <w:ind w:left="288" w:hanging="288"/>
        <w:jc w:val="both"/>
      </w:pPr>
      <w:r>
        <w:rPr>
          <w:rFonts w:ascii="Times New Roman" w:hAnsi="Times New Roman"/>
          <w:sz w:val="16"/>
        </w:rPr>
        <w:t>[7] National Crime Records Bureau, "Crime in India 2022," Ministry of Home Affairs, Government of India, New Delhi, India, 2023.</w:t>
      </w:r>
    </w:p>
    <w:p>
      <w:pPr>
        <w:spacing w:before="0" w:after="40" w:line="240" w:lineRule="auto"/>
        <w:ind w:left="288" w:hanging="288"/>
        <w:jc w:val="both"/>
      </w:pPr>
      <w:r>
        <w:rPr>
          <w:rFonts w:ascii="Times New Roman" w:hAnsi="Times New Roman"/>
          <w:sz w:val="16"/>
        </w:rPr>
        <w:t>[8] D. Chand, S. Nayak, K. S. Bhat, S. Parikh, Y. Singh, and A. A. Kamath, "A mobile application for women's safety: WoSApp," in Proc. IEEE Region 10 Conf. (TENCON), 2016.</w:t>
      </w:r>
    </w:p>
    <w:p>
      <w:pPr>
        <w:spacing w:before="0" w:after="40" w:line="240" w:lineRule="auto"/>
        <w:ind w:left="288" w:hanging="288"/>
        <w:jc w:val="both"/>
      </w:pPr>
      <w:r>
        <w:rPr>
          <w:rFonts w:ascii="Times New Roman" w:hAnsi="Times New Roman"/>
          <w:sz w:val="16"/>
        </w:rPr>
        <w:t>[9] M. S. Gerber, "Predicting crime using Twitter and kernel density estimation," Decis. Support Syst., vol. 61, pp. 115–125, 2014.</w:t>
      </w:r>
    </w:p>
    <w:p>
      <w:pPr>
        <w:spacing w:before="0" w:after="40" w:line="240" w:lineRule="auto"/>
        <w:ind w:left="288" w:hanging="288"/>
        <w:jc w:val="both"/>
      </w:pPr>
      <w:r>
        <w:rPr>
          <w:rFonts w:ascii="Times New Roman" w:hAnsi="Times New Roman"/>
          <w:sz w:val="16"/>
        </w:rPr>
        <w:t>[10] A. Umair, M. S. Sarfraz, M. Ahmad, U. Habib, M. H. Ullah, and M. Mazzara, "Spatiotemporal analysis of web news archives for crime prediction," Appl. Sci., vol. 10, no. 22, Art. no. 8220, 2020.</w:t>
      </w:r>
    </w:p>
    <w:p>
      <w:pPr>
        <w:spacing w:before="0" w:after="40" w:line="240" w:lineRule="auto"/>
        <w:ind w:left="288" w:hanging="288"/>
        <w:jc w:val="both"/>
      </w:pPr>
      <w:r>
        <w:rPr>
          <w:rFonts w:ascii="Times New Roman" w:hAnsi="Times New Roman"/>
          <w:sz w:val="16"/>
        </w:rPr>
        <w:t>[11] J. Earl, A. Martin, J. D. McCarthy, and S. A. Soule, "The use of newspaper data in the study of collective action," Annu. Rev. Sociol., vol. 30, pp. 65–80, 2004.</w:t>
      </w:r>
    </w:p>
    <w:p>
      <w:pPr>
        <w:spacing w:before="0" w:after="40" w:line="240" w:lineRule="auto"/>
        <w:ind w:left="288" w:hanging="288"/>
        <w:jc w:val="both"/>
      </w:pPr>
      <w:r>
        <w:rPr>
          <w:rFonts w:ascii="Times New Roman" w:hAnsi="Times New Roman"/>
          <w:sz w:val="16"/>
        </w:rPr>
        <w:t>[12] B. W. Silverman, Density Estimation for Statistics and Data Analysis. London, U.K.: Chapman &amp; Hall, 1986.</w:t>
      </w:r>
    </w:p>
    <w:p>
      <w:pPr>
        <w:spacing w:before="0" w:after="40" w:line="240" w:lineRule="auto"/>
        <w:ind w:left="288" w:hanging="288"/>
        <w:jc w:val="both"/>
      </w:pPr>
      <w:r>
        <w:rPr>
          <w:rFonts w:ascii="Times New Roman" w:hAnsi="Times New Roman"/>
          <w:sz w:val="16"/>
        </w:rPr>
        <w:t>[13] Y. Hu, F. Wang, C. Guin, and H. Zhu, "A spatio-temporal kernel density estimation framework for predictive crime hotspot mapping and evaluation," Appl. Geogr., vol. 99, pp. 89–97, 2018.</w:t>
      </w:r>
    </w:p>
    <w:p>
      <w:pPr>
        <w:spacing w:before="0" w:after="40" w:line="240" w:lineRule="auto"/>
        <w:ind w:left="288" w:hanging="288"/>
        <w:jc w:val="both"/>
      </w:pPr>
      <w:r>
        <w:rPr>
          <w:rFonts w:ascii="Times New Roman" w:hAnsi="Times New Roman"/>
          <w:sz w:val="16"/>
        </w:rPr>
        <w:t>[14] M. Ester, H.-P. Kriegel, J. Sander, and X. Xu, "A density-based algorithm for discovering clusters in large spatial databases with noise," in Proc. 2nd Int. Conf. Knowl. Discovery Data Mining (KDD), 1996, pp. 226–231.</w:t>
      </w:r>
    </w:p>
    <w:p>
      <w:pPr>
        <w:spacing w:before="0" w:after="40" w:line="240" w:lineRule="auto"/>
        <w:ind w:left="288" w:hanging="288"/>
        <w:jc w:val="both"/>
      </w:pPr>
      <w:r>
        <w:rPr>
          <w:rFonts w:ascii="Times New Roman" w:hAnsi="Times New Roman"/>
          <w:sz w:val="16"/>
        </w:rPr>
        <w:t>[15] G. O. Mohler, M. B. Short, P. J. Brantingham, F. P. Schoenberg, and G. E. Tita, "Self-exciting point process modeling of crime," J. Amer. Statist. Assoc., vol. 106, no. 493, pp. 100–108, 2011.</w:t>
      </w:r>
    </w:p>
    <w:p>
      <w:pPr>
        <w:spacing w:before="0" w:after="40" w:line="240" w:lineRule="auto"/>
        <w:ind w:left="288" w:hanging="288"/>
        <w:jc w:val="both"/>
      </w:pPr>
      <w:r>
        <w:rPr>
          <w:rFonts w:ascii="Times New Roman" w:hAnsi="Times New Roman"/>
          <w:sz w:val="16"/>
        </w:rPr>
        <w:t>[16] J. M. Caplan, L. W. Kennedy, and J. Miller, "Risk terrain modeling: Brokering criminological theory and GIS methods for crime forecasting," Justice Quart., vol. 28, no. 2, pp. 360–381, 2011.</w:t>
      </w:r>
    </w:p>
    <w:p>
      <w:pPr>
        <w:spacing w:before="0" w:after="40" w:line="240" w:lineRule="auto"/>
        <w:ind w:left="288" w:hanging="288"/>
        <w:jc w:val="both"/>
      </w:pPr>
      <w:r>
        <w:rPr>
          <w:rFonts w:ascii="Times New Roman" w:hAnsi="Times New Roman"/>
          <w:sz w:val="16"/>
        </w:rPr>
        <w:t>[17] Z. Marchment and P. Gill, "Systematic review and meta-analysis of risk terrain modelling (RTM) as a spatial forecasting method," Crime Sci., vol. 10, 2021, doi: 10.1186/s40163-021-00149-6.</w:t>
      </w:r>
    </w:p>
    <w:p>
      <w:pPr>
        <w:spacing w:before="0" w:after="40" w:line="240" w:lineRule="auto"/>
        <w:ind w:left="288" w:hanging="288"/>
        <w:jc w:val="both"/>
      </w:pPr>
      <w:r>
        <w:rPr>
          <w:rFonts w:ascii="Times New Roman" w:hAnsi="Times New Roman"/>
          <w:sz w:val="16"/>
        </w:rPr>
        <w:t>[18] O. Kounadi, A. Ristea, A. Araujo, and M. Leitner, "A systematic review on spatial crime forecasting," Crime Sci., vol. 9, 2020, doi: 10.1186/s40163-020-00116-7.</w:t>
      </w:r>
    </w:p>
    <w:p>
      <w:pPr>
        <w:spacing w:before="0" w:after="40" w:line="240" w:lineRule="auto"/>
        <w:ind w:left="288" w:hanging="288"/>
        <w:jc w:val="both"/>
      </w:pPr>
      <w:r>
        <w:rPr>
          <w:rFonts w:ascii="Times New Roman" w:hAnsi="Times New Roman"/>
          <w:sz w:val="16"/>
        </w:rPr>
        <w:t>[19] V. Mandalapu, L. Elluri, P. Vyas, and N. Roy, "Crime prediction using machine learning and deep learning: A systematic review and future directions," IEEE Access, vol. 11, pp. 60153–60170, 2023.</w:t>
      </w:r>
    </w:p>
    <w:p>
      <w:pPr>
        <w:spacing w:before="0" w:after="40" w:line="240" w:lineRule="auto"/>
        <w:ind w:left="288" w:hanging="288"/>
        <w:jc w:val="both"/>
      </w:pPr>
      <w:r>
        <w:rPr>
          <w:rFonts w:ascii="Times New Roman" w:hAnsi="Times New Roman"/>
          <w:sz w:val="16"/>
        </w:rPr>
        <w:t>[20] X. Zhang, L. Liu, M. Lan, G. Song, L. Xiao, and J. Chen, "Comparison of machine learning algorithms for predicting crime hotspots," IEEE Access, vol. 8, 2020.</w:t>
      </w:r>
    </w:p>
    <w:p>
      <w:pPr>
        <w:spacing w:before="0" w:after="40" w:line="240" w:lineRule="auto"/>
        <w:ind w:left="288" w:hanging="288"/>
        <w:jc w:val="both"/>
      </w:pPr>
      <w:r>
        <w:rPr>
          <w:rFonts w:ascii="Times New Roman" w:hAnsi="Times New Roman"/>
          <w:sz w:val="16"/>
        </w:rPr>
        <w:t>[21] E. G. Knox, "The detection of space-time interactions," J. Roy. Statist. Soc. C (Appl. Statist.), vol. 13, no. 1, pp. 25–29, 1964.</w:t>
      </w:r>
    </w:p>
    <w:p>
      <w:pPr>
        <w:spacing w:before="0" w:after="40" w:line="240" w:lineRule="auto"/>
        <w:ind w:left="288" w:hanging="288"/>
        <w:jc w:val="both"/>
      </w:pPr>
      <w:r>
        <w:rPr>
          <w:rFonts w:ascii="Times New Roman" w:hAnsi="Times New Roman"/>
          <w:sz w:val="16"/>
        </w:rPr>
        <w:t>[22] M. Townsley, R. Homel, and J. Chaseling, "Infectious burglaries: A test of the near repeat hypothesis," Brit. J. Criminol., vol. 43, no. 3, pp. 615–633, 2003.</w:t>
      </w:r>
    </w:p>
    <w:p>
      <w:pPr>
        <w:spacing w:before="0" w:after="40" w:line="240" w:lineRule="auto"/>
        <w:ind w:left="288" w:hanging="288"/>
        <w:jc w:val="both"/>
      </w:pPr>
      <w:r>
        <w:rPr>
          <w:rFonts w:ascii="Times New Roman" w:hAnsi="Times New Roman"/>
          <w:sz w:val="16"/>
        </w:rPr>
        <w:t>[23] S. D. Johnson et al., "Space–time patterns of risk: A cross national assessment of residential burglary victimization," J. Quant. Criminol., vol. 23, no. 3, pp. 201–219, 2007.</w:t>
      </w:r>
    </w:p>
    <w:p>
      <w:pPr>
        <w:spacing w:before="0" w:after="40" w:line="240" w:lineRule="auto"/>
        <w:ind w:left="288" w:hanging="288"/>
        <w:jc w:val="both"/>
      </w:pPr>
      <w:r>
        <w:rPr>
          <w:rFonts w:ascii="Times New Roman" w:hAnsi="Times New Roman"/>
          <w:sz w:val="16"/>
        </w:rPr>
        <w:t>[24] M. Gritta, M. T. Pilehvar, and N. Collier, "A pragmatic guide to geoparsing evaluation: Toponyms, named entity recognition and pragmatics," Lang. Resour. Eval., 2020.</w:t>
      </w:r>
    </w:p>
    <w:p>
      <w:pPr>
        <w:spacing w:before="0" w:after="40" w:line="240" w:lineRule="auto"/>
        <w:ind w:left="288" w:hanging="288"/>
        <w:jc w:val="both"/>
      </w:pPr>
      <w:r>
        <w:rPr>
          <w:rFonts w:ascii="Times New Roman" w:hAnsi="Times New Roman"/>
          <w:sz w:val="16"/>
        </w:rPr>
        <w:t>[25] P. A. Zandbergen, "Geocoding quality and implications for spatial analysis," Geogr. Compass, vol. 3, no. 2, pp. 647–680, 2009.</w:t>
      </w:r>
    </w:p>
    <w:p>
      <w:pPr>
        <w:spacing w:before="0" w:after="40" w:line="240" w:lineRule="auto"/>
        <w:ind w:left="288" w:hanging="288"/>
        <w:jc w:val="both"/>
      </w:pPr>
      <w:r>
        <w:rPr>
          <w:rFonts w:ascii="Times New Roman" w:hAnsi="Times New Roman"/>
          <w:sz w:val="16"/>
        </w:rPr>
        <w:t>[26] E. Galbrun, K. Pelechrinis, and E. Terzi, "Safe navigation in urban environments," in Proc. 3rd Int. Workshop Urban Comput. (UrbComp), KDD, New York, NY, USA, 2014.</w:t>
      </w:r>
    </w:p>
    <w:p>
      <w:pPr>
        <w:spacing w:before="0" w:after="40" w:line="240" w:lineRule="auto"/>
        <w:ind w:left="288" w:hanging="288"/>
        <w:jc w:val="both"/>
      </w:pPr>
      <w:r>
        <w:rPr>
          <w:rFonts w:ascii="Times New Roman" w:hAnsi="Times New Roman"/>
          <w:sz w:val="16"/>
        </w:rPr>
        <w:t>[27] J. Jacobs, The Death and Life of Great American Cities. New York, NY, USA: Random House, 1961.</w:t>
      </w:r>
    </w:p>
    <w:p>
      <w:pPr>
        <w:spacing w:before="0" w:after="40" w:line="240" w:lineRule="auto"/>
        <w:ind w:left="288" w:hanging="288"/>
        <w:jc w:val="both"/>
      </w:pPr>
      <w:r>
        <w:rPr>
          <w:rFonts w:ascii="Times New Roman" w:hAnsi="Times New Roman"/>
          <w:sz w:val="16"/>
        </w:rPr>
        <w:t>[28] O. Newman, Defensible Space: Crime Prevention Through Urban Design. New York, NY, USA: Macmillan, 1972.</w:t>
      </w:r>
    </w:p>
    <w:p>
      <w:pPr>
        <w:spacing w:before="0" w:after="40" w:line="240" w:lineRule="auto"/>
        <w:ind w:left="288" w:hanging="288"/>
        <w:jc w:val="both"/>
      </w:pPr>
      <w:r>
        <w:rPr>
          <w:rFonts w:ascii="Times New Roman" w:hAnsi="Times New Roman"/>
          <w:sz w:val="16"/>
        </w:rPr>
        <w:t>[29] M. Haklay and P. Weber, "OpenStreetMap: User-generated street maps," IEEE Pervasive Comput., vol. 7, no. 4, pp. 12–18, Oct.–Dec. 2008.</w:t>
      </w:r>
    </w:p>
    <w:p>
      <w:pPr>
        <w:spacing w:before="0" w:after="40" w:line="240" w:lineRule="auto"/>
        <w:ind w:left="288" w:hanging="288"/>
        <w:jc w:val="both"/>
      </w:pPr>
      <w:r>
        <w:rPr>
          <w:rFonts w:ascii="Times New Roman" w:hAnsi="Times New Roman"/>
          <w:sz w:val="16"/>
        </w:rPr>
        <w:t>[30] K. Lum and W. Isaac, "To predict and serve?," Significance, vol. 13, no. 5, pp. 14–19, 2016.</w:t>
      </w:r>
    </w:p>
    <w:p>
      <w:pPr>
        <w:spacing w:before="0" w:after="40" w:line="240" w:lineRule="auto"/>
        <w:ind w:left="288" w:hanging="288"/>
        <w:jc w:val="both"/>
      </w:pPr>
      <w:r>
        <w:rPr>
          <w:rFonts w:ascii="Times New Roman" w:hAnsi="Times New Roman"/>
          <w:sz w:val="16"/>
        </w:rPr>
        <w:t>[31] R. Richardson, J. M. Schultz, and K. Crawford, "Dirty data, bad predictions: How civil rights violations impact police data, predictive policing systems, and justice," New York Univ. Law Rev. Online, vol. 94, p. 15, 2019.</w:t>
      </w:r>
    </w:p>
    <w:p>
      <w:pPr>
        <w:spacing w:before="0" w:after="40" w:line="240" w:lineRule="auto"/>
        <w:ind w:left="288" w:hanging="288"/>
        <w:jc w:val="both"/>
      </w:pPr>
      <w:r>
        <w:rPr>
          <w:rFonts w:ascii="Times New Roman" w:hAnsi="Times New Roman"/>
          <w:sz w:val="16"/>
        </w:rPr>
        <w:t>[32] D. Ensign, S. A. Friedler, S. Neville, C. Scheidegger, and S. Venkatasubramanian, "Runaway feedback loops in predictive policing," in Proc. Conf. Fairness, Accountability Transparency (FAT*), PMLR vol. 81, 2018, pp. 160–171.</w:t>
      </w:r>
    </w:p>
    <w:p>
      <w:pPr>
        <w:spacing w:before="0" w:after="40" w:line="240" w:lineRule="auto"/>
        <w:ind w:left="288" w:hanging="288"/>
        <w:jc w:val="both"/>
      </w:pPr>
      <w:r>
        <w:rPr>
          <w:rFonts w:ascii="Times New Roman" w:hAnsi="Times New Roman"/>
          <w:sz w:val="16"/>
        </w:rPr>
        <w:t>[33] R. W. Sinnott, "Virtues of the haversine," Sky Telescope, vol. 68, no. 2, p. 159, 1984.</w:t>
      </w:r>
    </w:p>
    <w:p>
      <w:pPr>
        <w:spacing w:before="0" w:after="40" w:line="240" w:lineRule="auto"/>
        <w:ind w:left="288" w:hanging="288"/>
        <w:jc w:val="both"/>
      </w:pPr>
      <w:r>
        <w:rPr>
          <w:rFonts w:ascii="Times New Roman" w:hAnsi="Times New Roman"/>
          <w:sz w:val="16"/>
        </w:rPr>
        <w:t>[34] F. Pedregosa et al., "Scikit-learn: Machine learning in Python," J. Mach. Learn. Res., vol. 12, pp. 2825–2830, 2011.</w:t>
      </w:r>
    </w:p>
    <w:p>
      <w:pPr>
        <w:spacing w:before="0" w:after="40" w:line="240" w:lineRule="auto"/>
        <w:ind w:left="288" w:hanging="288"/>
        <w:jc w:val="both"/>
      </w:pPr>
      <w:r>
        <w:rPr>
          <w:rFonts w:ascii="Times New Roman" w:hAnsi="Times New Roman"/>
          <w:sz w:val="16"/>
        </w:rPr>
        <w:t>[35] R. Agrawal and R. Srikant, "Fast algorithms for mining association rules," in Proc. 20th Int. Conf. Very Large Data Bases (VLDB), 1994, pp. 487–499.</w:t>
      </w:r>
    </w:p>
    <w:p>
      <w:pPr>
        <w:spacing w:before="0" w:after="40" w:line="240" w:lineRule="auto"/>
        <w:ind w:left="288" w:hanging="288"/>
        <w:jc w:val="both"/>
      </w:pPr>
      <w:r>
        <w:rPr>
          <w:rFonts w:ascii="Times New Roman" w:hAnsi="Times New Roman"/>
          <w:sz w:val="16"/>
        </w:rPr>
        <w:t>[36] G. Salton and C. Buckley, "Term-weighting approaches in automatic text retrieval," Inf. Process. Manage., vol. 24, no. 5, pp. 513–523, 1988.</w:t>
      </w:r>
    </w:p>
    <w:p>
      <w:pPr>
        <w:spacing w:before="0" w:after="40" w:line="240" w:lineRule="auto"/>
        <w:ind w:left="288" w:hanging="288"/>
        <w:jc w:val="both"/>
      </w:pPr>
      <w:r>
        <w:rPr>
          <w:rFonts w:ascii="Times New Roman" w:hAnsi="Times New Roman"/>
          <w:sz w:val="16"/>
        </w:rPr>
        <w:t>[37] M. Thomson, E. Damaggio, and B. Raymor, Eds., "Generic event delivery using HTTP push," IETF RFC 8030, Dec. 2016.</w:t>
      </w:r>
    </w:p>
    <w:p>
      <w:pPr>
        <w:spacing w:before="0" w:after="40" w:line="240" w:lineRule="auto"/>
        <w:ind w:left="288" w:hanging="288"/>
        <w:jc w:val="both"/>
      </w:pPr>
      <w:r>
        <w:rPr>
          <w:rFonts w:ascii="Times New Roman" w:hAnsi="Times New Roman"/>
          <w:sz w:val="16"/>
        </w:rPr>
        <w:t>[38] M. Thomson and P. Beverloo, "Voluntary application server identification (VAPID) for web push," IETF RFC 8292, Nov. 2017.</w:t>
      </w:r>
    </w:p>
    <w:p>
      <w:pPr>
        <w:spacing w:before="0" w:after="40" w:line="240" w:lineRule="auto"/>
        <w:ind w:left="288" w:hanging="288"/>
        <w:jc w:val="both"/>
      </w:pPr>
      <w:r>
        <w:rPr>
          <w:rFonts w:ascii="Times New Roman" w:hAnsi="Times New Roman"/>
          <w:sz w:val="16"/>
        </w:rPr>
        <w:t>[39] A. Popescu, "Geolocation API specification, 2nd ed.," W3C Recommendation, 2016.</w:t>
      </w:r>
    </w:p>
    <w:p>
      <w:pPr>
        <w:spacing w:before="0" w:after="40" w:line="240" w:lineRule="auto"/>
        <w:ind w:left="288" w:hanging="288"/>
        <w:jc w:val="both"/>
      </w:pPr>
      <w:r>
        <w:rPr>
          <w:rFonts w:ascii="Times New Roman" w:hAnsi="Times New Roman"/>
          <w:sz w:val="16"/>
        </w:rPr>
        <w:t>[40] A. R. Beresford and F. Stajano, "Location privacy in pervasive computing," IEEE Pervasive Comput., vol. 2, no. 1, pp. 46–55, 2003.</w:t>
      </w:r>
    </w:p>
    <w:p>
      <w:pPr>
        <w:spacing w:before="0" w:after="40" w:line="240" w:lineRule="auto"/>
        <w:ind w:left="288" w:hanging="288"/>
        <w:jc w:val="both"/>
      </w:pPr>
      <w:r>
        <w:rPr>
          <w:rFonts w:ascii="Times New Roman" w:hAnsi="Times New Roman"/>
          <w:sz w:val="16"/>
        </w:rPr>
        <w:t>[41] N. Sakimura, J. Bradley, M. Jones, B. de Medeiros, and C. Mortimer, "OpenID Connect Core 1.0 incorporating errata set 1," OpenID Foundation, Nov. 2014.</w:t>
      </w:r>
    </w:p>
    <w:p>
      <w:pPr>
        <w:spacing w:before="0" w:after="40" w:line="240" w:lineRule="auto"/>
        <w:ind w:left="288" w:hanging="288"/>
        <w:jc w:val="both"/>
      </w:pPr>
      <w:r>
        <w:rPr>
          <w:rFonts w:ascii="Times New Roman" w:hAnsi="Times New Roman"/>
          <w:sz w:val="16"/>
        </w:rPr>
        <w:t>[42] Government of India, "The Digital Personal Data Protection Act, 2023," Act No. 22 of 2023, Aug. 2023.</w:t>
      </w:r>
    </w:p>
    <w:p>
      <w:pPr>
        <w:spacing w:before="0" w:after="40" w:line="240" w:lineRule="auto"/>
        <w:ind w:left="288" w:hanging="288"/>
        <w:jc w:val="both"/>
      </w:pPr>
      <w:r>
        <w:rPr>
          <w:rFonts w:ascii="Times New Roman" w:hAnsi="Times New Roman"/>
          <w:sz w:val="16"/>
        </w:rPr>
        <w:t>[43] J. Brooke, "SUS: A quick and dirty usability scale," in Usability Evaluation in Industry, P. W. Jordan et al., Eds. London, U.K.: Taylor &amp; Francis, 1996, pp. 189–194.</w:t>
      </w:r>
    </w:p>
    <w:sectPr w:rsidR="00FC693F" w:rsidRPr="0006063C" w:rsidSect="00034616">
      <w:type w:val="continuous"/>
      <w:pgSz w:w="12240" w:h="15840"/>
      <w:pgMar w:top="1080" w:right="900" w:bottom="1224" w:left="900" w:header="720" w:footer="720" w:gutter="0"/>
      <w:cols w:space="720"/>
      <w:docGrid w:linePitch="360"/>
      <w:cols w:num="2" w:space="28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