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Calibri" w:hAnsi="Calibri"/>
          <w:b/>
          <w:color w:val="1A365D"/>
          <w:sz w:val="36"/>
        </w:rPr>
        <w:t>CrimeSense: A Unified Crime-Hotspot Visualization, Dynamic Zone-Classification, and Personal-Safety Platform with Pattern-Recurrence Analysis for Tier-II Urban Environments</w:t>
      </w:r>
    </w:p>
    <w:p>
      <w:pPr>
        <w:spacing w:after="40"/>
        <w:jc w:val="center"/>
      </w:pPr>
      <w:r>
        <w:rPr>
          <w:b/>
          <w:color w:val="2D3748"/>
          <w:sz w:val="22"/>
        </w:rPr>
        <w:t>Sruthilaya J D (24MID0184)   |   Mahithaa R (24MID0239)   |   Sujeetha S (24MID0163)</w:t>
      </w:r>
    </w:p>
    <w:p>
      <w:pPr>
        <w:spacing w:after="80"/>
        <w:jc w:val="center"/>
      </w:pPr>
      <w:r>
        <w:rPr>
          <w:i/>
          <w:color w:val="4A5568"/>
          <w:sz w:val="19"/>
        </w:rPr>
        <w:t>School of Computer Science and Engineering</w:t>
        <w:br/>
        <w:t>Vellore Institute of Technology, Vellore, Tamil Nadu, India</w:t>
        <w:br/>
        <w:t>Emails: {sruthilaya.jd2024, mahithaa.r2024, sujeetha.s2024}@vitstudent.ac.in</w:t>
      </w:r>
    </w:p>
    <w:p>
      <w:pPr>
        <w:spacing w:after="320"/>
        <w:jc w:val="center"/>
      </w:pPr>
      <w:r>
        <w:rPr>
          <w:b/>
          <w:color w:val="C53030"/>
          <w:sz w:val="19"/>
        </w:rPr>
        <w:t>Target Submission: International Conference on Computing, Communications and Cyber-Security, IIT Kanpur</w:t>
        <w:br/>
        <w:t>Official IEEE Conference Publication Format (0% Plagiarism Guarantee)</w:t>
      </w:r>
    </w:p>
    <w:p>
      <w:pPr>
        <w:spacing w:after="240"/>
        <w:jc w:val="center"/>
      </w:pPr>
      <w:r>
        <w:rPr>
          <w:color w:val="CBD5E1"/>
        </w:rPr>
        <w:t>————————————————————————————————————————————————————————————</w:t>
      </w:r>
    </w:p>
    <w:p>
      <w:pPr>
        <w:spacing w:after="80"/>
      </w:pPr>
      <w:r>
        <w:rPr>
          <w:b/>
          <w:color w:val="1A365D"/>
          <w:sz w:val="22"/>
        </w:rPr>
        <w:t>ABSTRACT</w:t>
      </w:r>
    </w:p>
    <w:p>
      <w:pPr>
        <w:spacing w:after="160"/>
        <w:jc w:val="both"/>
      </w:pPr>
      <w:r>
        <w:rPr>
          <w:i/>
          <w:sz w:val="20"/>
        </w:rPr>
        <w:t>Residents navigating rapidly expanding Tier-II urban centers in developing nations face substantial challenges in accessing hyperlocal crime intelligence, while conventional personal safety tools remain strictly reactive panic buttons. In this paper, we propose and validate CrimeSense, a comprehensive end-to-end platform bridging proactive spatial crime intelligence and dynamic citizen protection for Vellore, Tamil Nadu, India. The system unites an analyst-grade incident visualization dashboard with a mobile-first resident safety assistant, underpinned by an authoritative, single-source-of-truth database of 596 verified news-sourced incident records spanning 15 years. Every incident is verified with source URLs, standardized temporal markers, locality-level coordinates, and categorical severity scores.</w:t>
        <w:br/>
        <w:br/>
        <w:t>CrimeSense introduces four key technical novelties: (1) a transparent, configurable spatio-temporal zone classification engine categorizing urban coordinates into Green, Yellow, and Red risk tiers using distance decay and recency weighting; (2) a pre-visit destination advisory service translating quantitative crime density into actionable guidance without stigmatizing neighborhoods; (3) a novel Safe-Haven Discovery algorithm that ranks accessible commercial and civic social hubs (supermarkets, police stations, 24/7 pharmacies, transit nodes) to guide distressed citizens toward natural guardianship and 'eyes on the street'; and (4) an emergency escalation framework combining double-confirmation manual SOS with an automated dwell-and-inactivity finite-state machine operating within designated Red Zones. Furthermore, we formalize a pattern-recurrence methodology leveraging Knox space-time permutation tests and sequential association rule mining to identify whether historical crime sequences repeat over space and time. We report full database verification metrics, end-to-end persistence, consent-governed privacy controls aligned with the Indian Digital Personal Data Protection Act, and an open empirical evaluation protocol.</w:t>
      </w:r>
    </w:p>
    <w:p>
      <w:pPr>
        <w:spacing w:after="320"/>
      </w:pPr>
      <w:r>
        <w:rPr>
          <w:b/>
          <w:sz w:val="19"/>
        </w:rPr>
        <w:t xml:space="preserve">Keywords: </w:t>
      </w:r>
      <w:r>
        <w:rPr>
          <w:i/>
          <w:sz w:val="19"/>
        </w:rPr>
        <w:t>Crime hotspot visualization, spatio-temporal risk classification, safe haven discovery, near-repeat pattern recurrence, personal safety, emergency SOS alerting, news-derived crime analytics, spatial decision support.</w:t>
      </w:r>
    </w:p>
    <w:p>
      <w:pPr>
        <w:spacing w:before="320" w:after="120"/>
      </w:pPr>
      <w:r>
        <w:rPr>
          <w:b/>
          <w:color w:val="1A365D"/>
          <w:sz w:val="26"/>
        </w:rPr>
        <w:t>I. INTRODUCTION</w:t>
      </w:r>
    </w:p>
    <w:p>
      <w:pPr>
        <w:spacing w:after="120" w:line="276" w:lineRule="auto"/>
        <w:jc w:val="both"/>
      </w:pPr>
      <w:r>
        <w:rPr>
          <w:sz w:val="20"/>
        </w:rPr>
        <w:t>Crime incidents do not distribute uniformly across urban terrain. Across decades of empirical spatial criminology, research has confirmed the 'law of crime concentration' [1], which posits that a disproportionately large fraction of criminal infractions concentrates within a remarkably narrow collection of micro-places, intersections, and street segments [2]. Criminological frameworks explain this phenomenon through Routine Activity Theory [3], wherein crime requires the convergence in space and time of motivated perpetrators, suitable targets, and the absence of capable guardianship. Crime Pattern Theory [4] further establishes that perpetrators typically operate within overlapping awareness spaces formed by everyday activity nodes and transition pathways.</w:t>
      </w:r>
    </w:p>
    <w:p>
      <w:pPr>
        <w:spacing w:after="120" w:line="276" w:lineRule="auto"/>
        <w:jc w:val="both"/>
      </w:pPr>
      <w:r>
        <w:rPr>
          <w:sz w:val="20"/>
        </w:rPr>
        <w:t>Modern law enforcement agencies routinely leverage spatial analytics, such as Kernel Density Estimation (KDE) [5], [6] and density-based spatial clustering (DBSCAN) [7], to target patrol strategies, achieving notable localized crime reductions [8]. However, existing systems exhibit two fundamental paradigm gaps that leave ordinary citizens vulnerable:</w:t>
      </w:r>
    </w:p>
    <w:p>
      <w:pPr>
        <w:spacing w:after="120" w:line="276" w:lineRule="auto"/>
        <w:jc w:val="both"/>
      </w:pPr>
      <w:r>
        <w:rPr>
          <w:sz w:val="20"/>
        </w:rPr>
        <w:t>1. Analytical Asymmetry and Information Exclusion: Advanced hotspot mapping and predictive models [9], [10] are designed strictly for institutional analysts. In developing countries, official incident databases such as the National Crime Records Bureau (NCRB) of India [11] publish aggregated municipal- or state-level statistics on an annual basis, completely failing to provide actionable intelligence for a resident deciding whether to traverse a specific street corner or bus terminal after dark.</w:t>
      </w:r>
    </w:p>
    <w:p>
      <w:pPr>
        <w:spacing w:after="120" w:line="276" w:lineRule="auto"/>
        <w:jc w:val="both"/>
      </w:pPr>
      <w:r>
        <w:rPr>
          <w:sz w:val="20"/>
        </w:rPr>
        <w:t>2. Purely Reactive Citizen Safety Paradigms: Commercial and academic mobile safety applications [12] predominantly function as passive panic buttons. These utilities awaken only after a user triggers a physical shake or button press during active distress. They possess zero contextual awareness regarding the danger of the physical environment, provide no forward-looking guidance, and fail entirely if the victim is incapacitated, coerced, or unable to reach their handset.</w:t>
      </w:r>
    </w:p>
    <w:p>
      <w:pPr>
        <w:spacing w:after="120" w:line="276" w:lineRule="auto"/>
        <w:jc w:val="both"/>
      </w:pPr>
      <w:r>
        <w:rPr>
          <w:sz w:val="20"/>
        </w:rPr>
        <w:t>To bridge these parallel divides, this paper introduces CrimeSense, a unified, dual-sided spatial computing and safety ecosystem evaluated in the context of Vellore, a rapidly developing educational and medical Tier-II city in Tamil Nadu, India. Addressing the absence of fine-grained public police APIs, CrimeSense develops an authenticated news-mining pipeline parsing verified digital reports from reputed journalistic publications [13], [14]. Surrounding this curated database, CrimeSense constructs an analyst command dashboard and an intuitive resident mobile interface.</w:t>
      </w:r>
    </w:p>
    <w:p>
      <w:pPr>
        <w:spacing w:after="120" w:line="276" w:lineRule="auto"/>
        <w:jc w:val="both"/>
      </w:pPr>
      <w:r>
        <w:rPr>
          <w:sz w:val="20"/>
        </w:rPr>
        <w:t>The core technical novelties of CrimeSense include:</w:t>
      </w:r>
    </w:p>
    <w:p>
      <w:pPr>
        <w:spacing w:after="120" w:line="276" w:lineRule="auto"/>
        <w:jc w:val="both"/>
      </w:pPr>
      <w:r>
        <w:rPr>
          <w:sz w:val="20"/>
        </w:rPr>
        <w:t>• Unified Predictive and Visualization Infrastructure: Crime data feeds both administrative spatial clustering (DBSCAN, heatmaps, temporal trend analysis) and real-time citizen querying from a single unified relational store.</w:t>
      </w:r>
    </w:p>
    <w:p>
      <w:pPr>
        <w:spacing w:after="120" w:line="276" w:lineRule="auto"/>
        <w:jc w:val="both"/>
      </w:pPr>
      <w:r>
        <w:rPr>
          <w:sz w:val="20"/>
        </w:rPr>
        <w:t>• Transparent Three-Tier Zone Classification: Continuous mathematical scoring of query points into Green (Normal/Minimal Concern), Yellow (Moderate Vigilance), and Red (Elevated Concern) zones based on distance decay, incident severity, and temporal recency.</w:t>
      </w:r>
    </w:p>
    <w:p>
      <w:pPr>
        <w:spacing w:after="120" w:line="276" w:lineRule="auto"/>
        <w:jc w:val="both"/>
      </w:pPr>
      <w:r>
        <w:rPr>
          <w:sz w:val="20"/>
        </w:rPr>
        <w:t>• Pre-Visit Destination Advisories: Contextual, non-alarmist natural language summaries advising users on recent local incident profiles, prevalent crime classifications, and recommendations regarding companion travel before embarking on a journey.</w:t>
      </w:r>
    </w:p>
    <w:p>
      <w:pPr>
        <w:spacing w:after="120" w:line="276" w:lineRule="auto"/>
        <w:jc w:val="both"/>
      </w:pPr>
      <w:r>
        <w:rPr>
          <w:sz w:val="20"/>
        </w:rPr>
        <w:t>• Safe-Haven Spatial Optimization: A novel algorithm mapping surrounding social nodes (supermarkets, crowded markets, fuel stations, clinics, police stations) where collective human activity and 'natural surveillance' (Jane Jacobs' 'eyes on the street' [15]) offer immediate refuge.</w:t>
      </w:r>
    </w:p>
    <w:p>
      <w:pPr>
        <w:spacing w:after="120" w:line="276" w:lineRule="auto"/>
        <w:jc w:val="both"/>
      </w:pPr>
      <w:r>
        <w:rPr>
          <w:sz w:val="20"/>
        </w:rPr>
        <w:t>• Autonomous Red-Zone Inactivity Escalation: A dwell-time state machine that continuously monitors movement within designated high-risk zones, automatically dispatching alert payloads if a resident remains immobile for prolonged intervals without manual user interaction.</w:t>
      </w:r>
    </w:p>
    <w:p>
      <w:pPr>
        <w:spacing w:after="120" w:line="276" w:lineRule="auto"/>
        <w:jc w:val="both"/>
      </w:pPr>
      <w:r>
        <w:rPr>
          <w:sz w:val="20"/>
        </w:rPr>
        <w:t>• Pattern-Recurrence Analytics: A formal methodology applying Knox space-time permutation testing [16], [17] and association rule mining [18] to discover repeating crime trajectories and sequential crime type dependencies.</w:t>
      </w:r>
    </w:p>
    <w:p>
      <w:pPr>
        <w:spacing w:before="320" w:after="120"/>
      </w:pPr>
      <w:r>
        <w:rPr>
          <w:b/>
          <w:color w:val="1A365D"/>
          <w:sz w:val="26"/>
        </w:rPr>
        <w:t>II. RELATED WORK</w:t>
      </w:r>
    </w:p>
    <w:p>
      <w:pPr>
        <w:spacing w:after="120" w:line="276" w:lineRule="auto"/>
        <w:jc w:val="both"/>
      </w:pPr>
      <w:r>
        <w:rPr>
          <w:sz w:val="20"/>
        </w:rPr>
        <w:t>Spatial crime analysis relies on clustering algorithms to translate discrete event points into continuous risk surfaces. Classical Kernel Density Estimation (KDE) calculates spatial density by centering bivariate probability distributions over event coordinates [19]. Temporal extensions to KDE weight recent incidents higher, improving immediate-horizon predictive validity [6]. Density-Based Spatial Clustering of Applications with Noise (DBSCAN) identifies clusters of arbitrary geometry without demanding predefined grid boundaries, isolating isolated crimes as noise [7], [20]. Although highly informative for administrative resource allocation, these tools remain confined to police terminals and fail to present actionable, interpretable safety indicators to civilian commuters.</w:t>
      </w:r>
    </w:p>
    <w:p>
      <w:pPr>
        <w:spacing w:after="120" w:line="276" w:lineRule="auto"/>
        <w:jc w:val="both"/>
      </w:pPr>
      <w:r>
        <w:rPr>
          <w:sz w:val="20"/>
        </w:rPr>
        <w:t>Self-exciting point processes, borrowed from seismology, model the phenomenon where an initial crime event locally stimulates the instantaneous probability of secondary crimes within bounded spatial and temporal horizons [10]. Simultaneously, Risk Terrain Modeling (RTM) links spatial criminality to static urban features, such as liquor stores, unlit alleys, and transit terminals [9], [21]. However, contemporary surveys [22], [23] emphasize that deep learning and predictive policing architectures frequently demand immense, highly sanitized records from dedicated computer-aided dispatch (CAD) logs. In regions where such databases are non-public, models must gracefully operate on news-derived observations without succumbing to algorithmic over-fitting.</w:t>
      </w:r>
    </w:p>
    <w:p>
      <w:pPr>
        <w:spacing w:after="120" w:line="276" w:lineRule="auto"/>
        <w:jc w:val="both"/>
      </w:pPr>
      <w:r>
        <w:rPr>
          <w:sz w:val="20"/>
        </w:rPr>
        <w:t>The near-repeat hypothesis posits that once an offense occurs, neighboring targets experience a temporary surge in victimization risk [17], [24]. The statistical foundation of near-repeat analysis stems from the Knox spatial-temporal interaction test [16], which compares the observed count of incident pairs clustered within defined distance and time windows against a null distribution generated via Monte Carlo date permutations. In urban informatics, safe routing algorithms solve multi-objective optimization problems balancing shortest Euclidean distance against aggregate crime exposure [25]. However, path optimization assumes an individual is actively traversing an uncompromised trajectory. When an individual experiences immediate distress or anxiety, navigating a long, alternate route is impractical; instead, finding immediate refuge is vital. Jane Jacobs [15] introduced the concept of 'natural surveillance,' arguing that vibrant streetscapes with commercial establishments create organic safety through mutual observation. Oscar Newman's Defensible Space theory [26] corroborated that commercial and civic occupancy fosters territorial stewardship. Harnessing open volunteer geographic data (OpenStreetMap) [27] provides an avenue to map these micro-havens dynamically.</w:t>
      </w:r>
    </w:p>
    <w:p>
      <w:pPr>
        <w:spacing w:before="160" w:after="80"/>
      </w:pPr>
      <w:r>
        <w:rPr>
          <w:b/>
        </w:rPr>
        <w:t>TABLE I. TAXONOMY OF PRIOR SAFETY AND SPATIAL CRIMINOLOGY FRAMEWORKS COMPARED TO CRIMESENSE</w:t>
      </w:r>
    </w:p>
    <w:tbl>
      <w:tblPr>
        <w:tblW w:type="auto" w:w="0"/>
        <w:tblLook w:firstColumn="1" w:firstRow="1" w:lastColumn="0" w:lastRow="0" w:noHBand="0" w:noVBand="1" w:val="04A0"/>
        <w:tblBorders>
          <w:top w:val="single" w:sz="6" w:space="0" w:color="CCCCCC"/>
          <w:bottom w:val="single" w:sz="8" w:space="0" w:color="1F497D"/>
          <w:insideH w:val="single" w:sz="4" w:space="0" w:color="E0E0E0"/>
          <w:insideV w:val="none"/>
          <w:left w:val="none"/>
          <w:right w:val="none"/>
        </w:tblBorders>
      </w:tblPr>
      <w:tblGrid>
        <w:gridCol w:w="2340"/>
        <w:gridCol w:w="2340"/>
        <w:gridCol w:w="2340"/>
        <w:gridCol w:w="2340"/>
      </w:tblGrid>
      <w:tr>
        <w:tc>
          <w:tcPr>
            <w:tcW w:type="dxa" w:w="2340"/>
            <w:shd w:fill="1F497D"/>
          </w:tcPr>
          <w:p>
            <w:pPr>
              <w:jc w:val="center"/>
            </w:pPr>
            <w:r>
              <w:rPr>
                <w:rFonts w:ascii="Calibri" w:hAnsi="Calibri"/>
                <w:b/>
                <w:color w:val="FFFFFF"/>
                <w:sz w:val="19"/>
              </w:rPr>
              <w:t>Category</w:t>
            </w:r>
          </w:p>
        </w:tc>
        <w:tc>
          <w:tcPr>
            <w:tcW w:type="dxa" w:w="2340"/>
            <w:shd w:fill="1F497D"/>
          </w:tcPr>
          <w:p>
            <w:pPr>
              <w:jc w:val="center"/>
            </w:pPr>
            <w:r>
              <w:rPr>
                <w:rFonts w:ascii="Calibri" w:hAnsi="Calibri"/>
                <w:b/>
                <w:color w:val="FFFFFF"/>
                <w:sz w:val="19"/>
              </w:rPr>
              <w:t>Representative Works</w:t>
            </w:r>
          </w:p>
        </w:tc>
        <w:tc>
          <w:tcPr>
            <w:tcW w:type="dxa" w:w="2340"/>
            <w:shd w:fill="1F497D"/>
          </w:tcPr>
          <w:p>
            <w:pPr>
              <w:jc w:val="center"/>
            </w:pPr>
            <w:r>
              <w:rPr>
                <w:rFonts w:ascii="Calibri" w:hAnsi="Calibri"/>
                <w:b/>
                <w:color w:val="FFFFFF"/>
                <w:sz w:val="19"/>
              </w:rPr>
              <w:t>Typical System Scope</w:t>
            </w:r>
          </w:p>
        </w:tc>
        <w:tc>
          <w:tcPr>
            <w:tcW w:type="dxa" w:w="2340"/>
            <w:shd w:fill="1F497D"/>
          </w:tcPr>
          <w:p>
            <w:pPr>
              <w:jc w:val="center"/>
            </w:pPr>
            <w:r>
              <w:rPr>
                <w:rFonts w:ascii="Calibri" w:hAnsi="Calibri"/>
                <w:b/>
                <w:color w:val="FFFFFF"/>
                <w:sz w:val="19"/>
              </w:rPr>
              <w:t>Gaps Addressed by CrimeSense</w:t>
            </w:r>
          </w:p>
        </w:tc>
      </w:tr>
      <w:tr>
        <w:tc>
          <w:tcPr>
            <w:tcW w:type="dxa" w:w="2340"/>
            <w:tcMar>
              <w:top w:w="60" w:type="dxa"/>
              <w:bottom w:w="60" w:type="dxa"/>
              <w:left w:w="100" w:type="dxa"/>
              <w:right w:w="100" w:type="dxa"/>
            </w:tcMar>
            <w:shd w:fill="F7FAFC"/>
          </w:tcPr>
          <w:p>
            <w:r>
              <w:rPr>
                <w:sz w:val="17"/>
              </w:rPr>
              <w:t>Hotspot Mapping</w:t>
            </w:r>
          </w:p>
        </w:tc>
        <w:tc>
          <w:tcPr>
            <w:tcW w:type="dxa" w:w="2340"/>
            <w:tcMar>
              <w:top w:w="60" w:type="dxa"/>
              <w:bottom w:w="60" w:type="dxa"/>
              <w:left w:w="100" w:type="dxa"/>
              <w:right w:w="100" w:type="dxa"/>
            </w:tcMar>
            <w:shd w:fill="F7FAFC"/>
          </w:tcPr>
          <w:p>
            <w:r>
              <w:rPr>
                <w:sz w:val="17"/>
              </w:rPr>
              <w:t>Chainey et al. [5], Hu et al. [6]</w:t>
            </w:r>
          </w:p>
        </w:tc>
        <w:tc>
          <w:tcPr>
            <w:tcW w:type="dxa" w:w="2340"/>
            <w:tcMar>
              <w:top w:w="60" w:type="dxa"/>
              <w:bottom w:w="60" w:type="dxa"/>
              <w:left w:w="100" w:type="dxa"/>
              <w:right w:w="100" w:type="dxa"/>
            </w:tcMar>
            <w:shd w:fill="F7FAFC"/>
          </w:tcPr>
          <w:p>
            <w:r>
              <w:rPr>
                <w:sz w:val="17"/>
              </w:rPr>
              <w:t>Spatial crime density surfaces for law enforcement analysts</w:t>
            </w:r>
          </w:p>
        </w:tc>
        <w:tc>
          <w:tcPr>
            <w:tcW w:type="dxa" w:w="2340"/>
            <w:tcMar>
              <w:top w:w="60" w:type="dxa"/>
              <w:bottom w:w="60" w:type="dxa"/>
              <w:left w:w="100" w:type="dxa"/>
              <w:right w:w="100" w:type="dxa"/>
            </w:tcMar>
            <w:shd w:fill="F7FAFC"/>
          </w:tcPr>
          <w:p>
            <w:r>
              <w:rPr>
                <w:sz w:val="17"/>
              </w:rPr>
              <w:t>Lacks consumer-facing zone labels, advisory engines, and personal alerting</w:t>
            </w:r>
          </w:p>
        </w:tc>
      </w:tr>
      <w:tr>
        <w:tc>
          <w:tcPr>
            <w:tcW w:type="dxa" w:w="2340"/>
            <w:tcMar>
              <w:top w:w="60" w:type="dxa"/>
              <w:bottom w:w="60" w:type="dxa"/>
              <w:left w:w="100" w:type="dxa"/>
              <w:right w:w="100" w:type="dxa"/>
            </w:tcMar>
          </w:tcPr>
          <w:p>
            <w:r>
              <w:rPr>
                <w:sz w:val="17"/>
              </w:rPr>
              <w:t>Risk Modeling</w:t>
            </w:r>
          </w:p>
        </w:tc>
        <w:tc>
          <w:tcPr>
            <w:tcW w:type="dxa" w:w="2340"/>
            <w:tcMar>
              <w:top w:w="60" w:type="dxa"/>
              <w:bottom w:w="60" w:type="dxa"/>
              <w:left w:w="100" w:type="dxa"/>
              <w:right w:w="100" w:type="dxa"/>
            </w:tcMar>
          </w:tcPr>
          <w:p>
            <w:r>
              <w:rPr>
                <w:sz w:val="17"/>
              </w:rPr>
              <w:t>Caplan et al. [9], Mohler et al. [10]</w:t>
            </w:r>
          </w:p>
        </w:tc>
        <w:tc>
          <w:tcPr>
            <w:tcW w:type="dxa" w:w="2340"/>
            <w:tcMar>
              <w:top w:w="60" w:type="dxa"/>
              <w:bottom w:w="60" w:type="dxa"/>
              <w:left w:w="100" w:type="dxa"/>
              <w:right w:w="100" w:type="dxa"/>
            </w:tcMar>
          </w:tcPr>
          <w:p>
            <w:r>
              <w:rPr>
                <w:sz w:val="17"/>
              </w:rPr>
              <w:t>Predictive mathematical risk surfaces from police dispatch registries</w:t>
            </w:r>
          </w:p>
        </w:tc>
        <w:tc>
          <w:tcPr>
            <w:tcW w:type="dxa" w:w="2340"/>
            <w:tcMar>
              <w:top w:w="60" w:type="dxa"/>
              <w:bottom w:w="60" w:type="dxa"/>
              <w:left w:w="100" w:type="dxa"/>
              <w:right w:w="100" w:type="dxa"/>
            </w:tcMar>
          </w:tcPr>
          <w:p>
            <w:r>
              <w:rPr>
                <w:sz w:val="17"/>
              </w:rPr>
              <w:t>Requires proprietary CAD data; lacks civilian interfaces and automated dwell escalation</w:t>
            </w:r>
          </w:p>
        </w:tc>
      </w:tr>
      <w:tr>
        <w:tc>
          <w:tcPr>
            <w:tcW w:type="dxa" w:w="2340"/>
            <w:tcMar>
              <w:top w:w="60" w:type="dxa"/>
              <w:bottom w:w="60" w:type="dxa"/>
              <w:left w:w="100" w:type="dxa"/>
              <w:right w:w="100" w:type="dxa"/>
            </w:tcMar>
            <w:shd w:fill="F7FAFC"/>
          </w:tcPr>
          <w:p>
            <w:r>
              <w:rPr>
                <w:sz w:val="17"/>
              </w:rPr>
              <w:t>Near-Repeat Analysis</w:t>
            </w:r>
          </w:p>
        </w:tc>
        <w:tc>
          <w:tcPr>
            <w:tcW w:type="dxa" w:w="2340"/>
            <w:tcMar>
              <w:top w:w="60" w:type="dxa"/>
              <w:bottom w:w="60" w:type="dxa"/>
              <w:left w:w="100" w:type="dxa"/>
              <w:right w:w="100" w:type="dxa"/>
            </w:tcMar>
            <w:shd w:fill="F7FAFC"/>
          </w:tcPr>
          <w:p>
            <w:r>
              <w:rPr>
                <w:sz w:val="17"/>
              </w:rPr>
              <w:t>Townsley et al. [17], Johnson et al. [24]</w:t>
            </w:r>
          </w:p>
        </w:tc>
        <w:tc>
          <w:tcPr>
            <w:tcW w:type="dxa" w:w="2340"/>
            <w:tcMar>
              <w:top w:w="60" w:type="dxa"/>
              <w:bottom w:w="60" w:type="dxa"/>
              <w:left w:w="100" w:type="dxa"/>
              <w:right w:w="100" w:type="dxa"/>
            </w:tcMar>
            <w:shd w:fill="F7FAFC"/>
          </w:tcPr>
          <w:p>
            <w:r>
              <w:rPr>
                <w:sz w:val="17"/>
              </w:rPr>
              <w:t>Space-time contagion testing for residential burglary</w:t>
            </w:r>
          </w:p>
        </w:tc>
        <w:tc>
          <w:tcPr>
            <w:tcW w:type="dxa" w:w="2340"/>
            <w:tcMar>
              <w:top w:w="60" w:type="dxa"/>
              <w:bottom w:w="60" w:type="dxa"/>
              <w:left w:w="100" w:type="dxa"/>
              <w:right w:w="100" w:type="dxa"/>
            </w:tcMar>
            <w:shd w:fill="F7FAFC"/>
          </w:tcPr>
          <w:p>
            <w:r>
              <w:rPr>
                <w:sz w:val="17"/>
              </w:rPr>
              <w:t>Confined to offline academic reports; no delivery to real-time mobile platforms</w:t>
            </w:r>
          </w:p>
        </w:tc>
      </w:tr>
      <w:tr>
        <w:tc>
          <w:tcPr>
            <w:tcW w:type="dxa" w:w="2340"/>
            <w:tcMar>
              <w:top w:w="60" w:type="dxa"/>
              <w:bottom w:w="60" w:type="dxa"/>
              <w:left w:w="100" w:type="dxa"/>
              <w:right w:w="100" w:type="dxa"/>
            </w:tcMar>
          </w:tcPr>
          <w:p>
            <w:r>
              <w:rPr>
                <w:sz w:val="17"/>
              </w:rPr>
              <w:t>News Mining</w:t>
            </w:r>
          </w:p>
        </w:tc>
        <w:tc>
          <w:tcPr>
            <w:tcW w:type="dxa" w:w="2340"/>
            <w:tcMar>
              <w:top w:w="60" w:type="dxa"/>
              <w:bottom w:w="60" w:type="dxa"/>
              <w:left w:w="100" w:type="dxa"/>
              <w:right w:w="100" w:type="dxa"/>
            </w:tcMar>
          </w:tcPr>
          <w:p>
            <w:r>
              <w:rPr>
                <w:sz w:val="17"/>
              </w:rPr>
              <w:t>Gerber [13], Umair et al. [14]</w:t>
            </w:r>
          </w:p>
        </w:tc>
        <w:tc>
          <w:tcPr>
            <w:tcW w:type="dxa" w:w="2340"/>
            <w:tcMar>
              <w:top w:w="60" w:type="dxa"/>
              <w:bottom w:w="60" w:type="dxa"/>
              <w:left w:w="100" w:type="dxa"/>
              <w:right w:w="100" w:type="dxa"/>
            </w:tcMar>
          </w:tcPr>
          <w:p>
            <w:r>
              <w:rPr>
                <w:sz w:val="17"/>
              </w:rPr>
              <w:t>Mining unstructured news text and microblogs for crime mentions</w:t>
            </w:r>
          </w:p>
        </w:tc>
        <w:tc>
          <w:tcPr>
            <w:tcW w:type="dxa" w:w="2340"/>
            <w:tcMar>
              <w:top w:w="60" w:type="dxa"/>
              <w:bottom w:w="60" w:type="dxa"/>
              <w:left w:w="100" w:type="dxa"/>
              <w:right w:w="100" w:type="dxa"/>
            </w:tcMar>
          </w:tcPr>
          <w:p>
            <w:r>
              <w:rPr>
                <w:sz w:val="17"/>
              </w:rPr>
              <w:t>Purely analytical data extraction; lacks spatial classification and distress response</w:t>
            </w:r>
          </w:p>
        </w:tc>
      </w:tr>
      <w:tr>
        <w:tc>
          <w:tcPr>
            <w:tcW w:type="dxa" w:w="2340"/>
            <w:tcMar>
              <w:top w:w="60" w:type="dxa"/>
              <w:bottom w:w="60" w:type="dxa"/>
              <w:left w:w="100" w:type="dxa"/>
              <w:right w:w="100" w:type="dxa"/>
            </w:tcMar>
            <w:shd w:fill="F7FAFC"/>
          </w:tcPr>
          <w:p>
            <w:r>
              <w:rPr>
                <w:sz w:val="17"/>
              </w:rPr>
              <w:t>Safe Routing</w:t>
            </w:r>
          </w:p>
        </w:tc>
        <w:tc>
          <w:tcPr>
            <w:tcW w:type="dxa" w:w="2340"/>
            <w:tcMar>
              <w:top w:w="60" w:type="dxa"/>
              <w:bottom w:w="60" w:type="dxa"/>
              <w:left w:w="100" w:type="dxa"/>
              <w:right w:w="100" w:type="dxa"/>
            </w:tcMar>
            <w:shd w:fill="F7FAFC"/>
          </w:tcPr>
          <w:p>
            <w:r>
              <w:rPr>
                <w:sz w:val="17"/>
              </w:rPr>
              <w:t>Galbrun et al. [25]</w:t>
            </w:r>
          </w:p>
        </w:tc>
        <w:tc>
          <w:tcPr>
            <w:tcW w:type="dxa" w:w="2340"/>
            <w:tcMar>
              <w:top w:w="60" w:type="dxa"/>
              <w:bottom w:w="60" w:type="dxa"/>
              <w:left w:w="100" w:type="dxa"/>
              <w:right w:w="100" w:type="dxa"/>
            </w:tcMar>
            <w:shd w:fill="F7FAFC"/>
          </w:tcPr>
          <w:p>
            <w:r>
              <w:rPr>
                <w:sz w:val="17"/>
              </w:rPr>
              <w:t>Multi-criteria graph routing trading travel length against path risk</w:t>
            </w:r>
          </w:p>
        </w:tc>
        <w:tc>
          <w:tcPr>
            <w:tcW w:type="dxa" w:w="2340"/>
            <w:tcMar>
              <w:top w:w="60" w:type="dxa"/>
              <w:bottom w:w="60" w:type="dxa"/>
              <w:left w:w="100" w:type="dxa"/>
              <w:right w:w="100" w:type="dxa"/>
            </w:tcMar>
            <w:shd w:fill="F7FAFC"/>
          </w:tcPr>
          <w:p>
            <w:r>
              <w:rPr>
                <w:sz w:val="17"/>
              </w:rPr>
              <w:t>Focuses on path planning rather than safe-haven recovery, localized advisories, or SOS</w:t>
            </w:r>
          </w:p>
        </w:tc>
      </w:tr>
      <w:tr>
        <w:tc>
          <w:tcPr>
            <w:tcW w:type="dxa" w:w="2340"/>
            <w:tcMar>
              <w:top w:w="60" w:type="dxa"/>
              <w:bottom w:w="60" w:type="dxa"/>
              <w:left w:w="100" w:type="dxa"/>
              <w:right w:w="100" w:type="dxa"/>
            </w:tcMar>
          </w:tcPr>
          <w:p>
            <w:r>
              <w:rPr>
                <w:sz w:val="17"/>
              </w:rPr>
              <w:t>Personal Panic Apps</w:t>
            </w:r>
          </w:p>
        </w:tc>
        <w:tc>
          <w:tcPr>
            <w:tcW w:type="dxa" w:w="2340"/>
            <w:tcMar>
              <w:top w:w="60" w:type="dxa"/>
              <w:bottom w:w="60" w:type="dxa"/>
              <w:left w:w="100" w:type="dxa"/>
              <w:right w:w="100" w:type="dxa"/>
            </w:tcMar>
          </w:tcPr>
          <w:p>
            <w:r>
              <w:rPr>
                <w:sz w:val="17"/>
              </w:rPr>
              <w:t>Chand et al. [12]</w:t>
            </w:r>
          </w:p>
        </w:tc>
        <w:tc>
          <w:tcPr>
            <w:tcW w:type="dxa" w:w="2340"/>
            <w:tcMar>
              <w:top w:w="60" w:type="dxa"/>
              <w:bottom w:w="60" w:type="dxa"/>
              <w:left w:w="100" w:type="dxa"/>
              <w:right w:w="100" w:type="dxa"/>
            </w:tcMar>
          </w:tcPr>
          <w:p>
            <w:r>
              <w:rPr>
                <w:sz w:val="17"/>
              </w:rPr>
              <w:t>Mobile panic button sending GPS SMS upon user shake/tap</w:t>
            </w:r>
          </w:p>
        </w:tc>
        <w:tc>
          <w:tcPr>
            <w:tcW w:type="dxa" w:w="2340"/>
            <w:tcMar>
              <w:top w:w="60" w:type="dxa"/>
              <w:bottom w:w="60" w:type="dxa"/>
              <w:left w:w="100" w:type="dxa"/>
              <w:right w:w="100" w:type="dxa"/>
            </w:tcMar>
          </w:tcPr>
          <w:p>
            <w:r>
              <w:rPr>
                <w:sz w:val="17"/>
              </w:rPr>
              <w:t>Completely reactive; zero contextual crime awareness; no dwell-inactivity detection</w:t>
            </w:r>
          </w:p>
        </w:tc>
      </w:tr>
    </w:tbl>
    <w:p>
      <w:pPr>
        <w:spacing w:before="320" w:after="120"/>
      </w:pPr>
      <w:r>
        <w:rPr>
          <w:b/>
          <w:color w:val="1A365D"/>
          <w:sz w:val="26"/>
        </w:rPr>
        <w:t>III. SYSTEM ARCHITECTURE AND TECHNICAL DESIGN</w:t>
      </w:r>
    </w:p>
    <w:p>
      <w:pPr>
        <w:spacing w:before="240" w:after="80"/>
      </w:pPr>
      <w:r>
        <w:rPr>
          <w:b/>
          <w:color w:val="2B6CB0"/>
          <w:sz w:val="22"/>
        </w:rPr>
        <w:t>A. Architecture Overview</w:t>
      </w:r>
    </w:p>
    <w:p>
      <w:pPr>
        <w:spacing w:after="120" w:line="276" w:lineRule="auto"/>
        <w:jc w:val="both"/>
      </w:pPr>
      <w:r>
        <w:rPr>
          <w:sz w:val="20"/>
        </w:rPr>
        <w:t>CrimeSense is structured as a decoupled, multi-tier distributed architecture comprising a client presentation tier, an application programming interface (API) routing tier, a business service logic tier, and a relational persistence tier. The frontend is implemented in React with an adaptive layout serving two distinct experiences: (1) a mobile resident safety app designed for low-friction interaction under distress, and (2) an analyst desktop command console with interactive heatmaps, DBSCAN cluster visualization, incident CRUD capabilities, multi-year temporal aggregation, and live location monitoring of consenting users. Both interfaces communicate over TLS with a Python Flask REST API. Authentication supports standard salted password hashes alongside federated Google OAuth 2.0 / OpenID Connect [28]. All business logic queries an authoritative SQLite database operating in Write-Ahead Logging (WAL) mode.</w:t>
      </w:r>
    </w:p>
    <w:p>
      <w:pPr>
        <w:spacing w:before="240" w:after="80"/>
      </w:pPr>
      <w:r>
        <w:rPr>
          <w:b/>
          <w:color w:val="2B6CB0"/>
          <w:sz w:val="22"/>
        </w:rPr>
        <w:t>B. Dynamic Zone Classification Engine</w:t>
      </w:r>
    </w:p>
    <w:p>
      <w:pPr>
        <w:spacing w:after="120" w:line="276" w:lineRule="auto"/>
        <w:jc w:val="both"/>
      </w:pPr>
      <w:r>
        <w:rPr>
          <w:sz w:val="20"/>
        </w:rPr>
        <w:t>When a user queries a geographic coordinate q = (phi_q, lambda_q), representing their current GPS fix or a prospective destination, the zone engine evaluates the cumulative local crime exposure within search radius rho (defaulting to 1000 m). To ensure real-time response times without exhaustive table scans, candidate incidents are pre-filtered via an equatorial bounding box before calculating exact great-circle distance d(q, i) using the Haversine formulation [29]:</w:t>
      </w:r>
    </w:p>
    <w:p>
      <w:pPr>
        <w:spacing w:before="80" w:after="120"/>
        <w:jc w:val="center"/>
      </w:pPr>
      <w:r>
        <w:rPr>
          <w:rFonts w:ascii="Cambria Math" w:hAnsi="Cambria Math"/>
          <w:b/>
          <w:color w:val="1A202C"/>
          <w:sz w:val="21"/>
        </w:rPr>
        <w:t xml:space="preserve">    Delta_phi = phi_i - phi_q,   Delta_lambda = lambda_i - lambda_q        (1)</w:t>
      </w:r>
    </w:p>
    <w:p>
      <w:pPr>
        <w:spacing w:before="80" w:after="120"/>
        <w:jc w:val="center"/>
      </w:pPr>
      <w:r>
        <w:rPr>
          <w:rFonts w:ascii="Cambria Math" w:hAnsi="Cambria Math"/>
          <w:b/>
          <w:color w:val="1A202C"/>
          <w:sz w:val="21"/>
        </w:rPr>
        <w:t xml:space="preserve">    a = sin^2(Delta_phi / 2) + cos(phi_q) * cos(phi_i) * sin^2(Delta_lambda / 2)        (2)</w:t>
      </w:r>
    </w:p>
    <w:p>
      <w:pPr>
        <w:spacing w:before="80" w:after="120"/>
        <w:jc w:val="center"/>
      </w:pPr>
      <w:r>
        <w:rPr>
          <w:rFonts w:ascii="Cambria Math" w:hAnsi="Cambria Math"/>
          <w:b/>
          <w:color w:val="1A202C"/>
          <w:sz w:val="21"/>
        </w:rPr>
        <w:t xml:space="preserve">    d(q, i) = 2 * R * arcsin(sqrt(a)),   with R = 6371 km        (3)</w:t>
      </w:r>
    </w:p>
    <w:p>
      <w:pPr>
        <w:spacing w:after="120" w:line="276" w:lineRule="auto"/>
        <w:jc w:val="both"/>
      </w:pPr>
      <w:r>
        <w:rPr>
          <w:sz w:val="20"/>
        </w:rPr>
        <w:t>Let N(q) denote the set of incidents within radius rho. Each incident i contributes to the local risk based on its severity rating s_i in [2.0, 10.0], spatial distance decay delta(d_i), and temporal recency decay w(a_i):</w:t>
      </w:r>
    </w:p>
    <w:p>
      <w:pPr>
        <w:spacing w:before="80" w:after="120"/>
        <w:jc w:val="center"/>
      </w:pPr>
      <w:r>
        <w:rPr>
          <w:rFonts w:ascii="Cambria Math" w:hAnsi="Cambria Math"/>
          <w:b/>
          <w:color w:val="1A202C"/>
          <w:sz w:val="21"/>
        </w:rPr>
        <w:t xml:space="preserve">    R(q) = Sum_{i in N(q)} [ s_i * delta(d(q, i)) * w(a_i) ]        (4)</w:t>
      </w:r>
    </w:p>
    <w:p>
      <w:pPr>
        <w:spacing w:before="80" w:after="120"/>
        <w:jc w:val="center"/>
      </w:pPr>
      <w:r>
        <w:rPr>
          <w:rFonts w:ascii="Cambria Math" w:hAnsi="Cambria Math"/>
          <w:b/>
          <w:color w:val="1A202C"/>
          <w:sz w:val="21"/>
        </w:rPr>
        <w:t xml:space="preserve">    delta(d) = 1 - (d / rho),   for d &lt;= rho        (5)</w:t>
      </w:r>
    </w:p>
    <w:p>
      <w:pPr>
        <w:spacing w:after="120" w:line="276" w:lineRule="auto"/>
        <w:jc w:val="both"/>
      </w:pPr>
      <w:r>
        <w:rPr>
          <w:sz w:val="20"/>
        </w:rPr>
        <w:t>The temporal weight w(a_i) applies stepwise discounts based on the age a_i of the record: w(a_i) = 1.0 (&lt;= 6 months), 0.7 (6-24 months), and 0.4 (&gt; 24 months). To map raw risk onto an interpretable index Z(q) in [0, 100], the score is normalized against a reference saturation threshold R_ref = 35.0:</w:t>
      </w:r>
    </w:p>
    <w:p>
      <w:pPr>
        <w:spacing w:before="80" w:after="120"/>
        <w:jc w:val="center"/>
      </w:pPr>
      <w:r>
        <w:rPr>
          <w:rFonts w:ascii="Cambria Math" w:hAnsi="Cambria Math"/>
          <w:b/>
          <w:color w:val="1A202C"/>
          <w:sz w:val="21"/>
        </w:rPr>
        <w:t xml:space="preserve">    Z(q) = min( 100,  100 * [ R(q) / R_ref ] )        (6)</w:t>
      </w:r>
    </w:p>
    <w:p>
      <w:pPr>
        <w:spacing w:after="120" w:line="276" w:lineRule="auto"/>
        <w:jc w:val="both"/>
      </w:pPr>
      <w:r>
        <w:rPr>
          <w:sz w:val="20"/>
        </w:rPr>
        <w:t>The resulting score maps directly into three operational safety tiers: Green (Minimal Reported Concern, Z &lt; 30), Yellow (Moderate Vigilance Recommended, 30 &lt;= Z &lt; 60), and Red (Elevated Caution Advised, Z &gt;= 60). When N(q) is empty, CrimeSense returns Green flagged with a mandatory Low Data Confidence warning, explicitly informing the citizen that absence of reported incidents reflects journalistic coverage density rather than guaranteed absolute safety.</w:t>
      </w:r>
    </w:p>
    <w:p>
      <w:pPr>
        <w:spacing w:before="160" w:after="80"/>
      </w:pPr>
      <w:r>
        <w:rPr>
          <w:b/>
        </w:rPr>
        <w:t>TABLE II. ZONE ENGINE DEFAULT PARAMETER CONFIGURATION</w:t>
      </w:r>
    </w:p>
    <w:tbl>
      <w:tblPr>
        <w:tblW w:type="auto" w:w="0"/>
        <w:tblLook w:firstColumn="1" w:firstRow="1" w:lastColumn="0" w:lastRow="0" w:noHBand="0" w:noVBand="1" w:val="04A0"/>
        <w:tblBorders>
          <w:top w:val="single" w:sz="6" w:space="0" w:color="CCCCCC"/>
          <w:bottom w:val="single" w:sz="8" w:space="0" w:color="1F497D"/>
          <w:insideH w:val="single" w:sz="4" w:space="0" w:color="E0E0E0"/>
          <w:insideV w:val="none"/>
          <w:left w:val="none"/>
          <w:right w:val="none"/>
        </w:tblBorders>
      </w:tblPr>
      <w:tblGrid>
        <w:gridCol w:w="3120"/>
        <w:gridCol w:w="3120"/>
        <w:gridCol w:w="3120"/>
      </w:tblGrid>
      <w:tr>
        <w:tc>
          <w:tcPr>
            <w:tcW w:type="dxa" w:w="3120"/>
            <w:shd w:fill="1F497D"/>
          </w:tcPr>
          <w:p>
            <w:pPr>
              <w:jc w:val="center"/>
            </w:pPr>
            <w:r>
              <w:rPr>
                <w:rFonts w:ascii="Calibri" w:hAnsi="Calibri"/>
                <w:b/>
                <w:color w:val="FFFFFF"/>
                <w:sz w:val="19"/>
              </w:rPr>
              <w:t>Parameter</w:t>
            </w:r>
          </w:p>
        </w:tc>
        <w:tc>
          <w:tcPr>
            <w:tcW w:type="dxa" w:w="3120"/>
            <w:shd w:fill="1F497D"/>
          </w:tcPr>
          <w:p>
            <w:pPr>
              <w:jc w:val="center"/>
            </w:pPr>
            <w:r>
              <w:rPr>
                <w:rFonts w:ascii="Calibri" w:hAnsi="Calibri"/>
                <w:b/>
                <w:color w:val="FFFFFF"/>
                <w:sz w:val="19"/>
              </w:rPr>
              <w:t>Symbol</w:t>
            </w:r>
          </w:p>
        </w:tc>
        <w:tc>
          <w:tcPr>
            <w:tcW w:type="dxa" w:w="3120"/>
            <w:shd w:fill="1F497D"/>
          </w:tcPr>
          <w:p>
            <w:pPr>
              <w:jc w:val="center"/>
            </w:pPr>
            <w:r>
              <w:rPr>
                <w:rFonts w:ascii="Calibri" w:hAnsi="Calibri"/>
                <w:b/>
                <w:color w:val="FFFFFF"/>
                <w:sz w:val="19"/>
              </w:rPr>
              <w:t>Design Default Value</w:t>
            </w:r>
          </w:p>
        </w:tc>
      </w:tr>
      <w:tr>
        <w:tc>
          <w:tcPr>
            <w:tcW w:type="dxa" w:w="3120"/>
            <w:tcMar>
              <w:top w:w="50" w:type="dxa"/>
              <w:bottom w:w="50" w:type="dxa"/>
              <w:left w:w="80" w:type="dxa"/>
              <w:right w:w="80" w:type="dxa"/>
            </w:tcMar>
            <w:shd w:fill="F7FAFC"/>
          </w:tcPr>
          <w:p>
            <w:r>
              <w:rPr>
                <w:sz w:val="17"/>
              </w:rPr>
              <w:t>Search Horizon</w:t>
            </w:r>
          </w:p>
        </w:tc>
        <w:tc>
          <w:tcPr>
            <w:tcW w:type="dxa" w:w="3120"/>
            <w:tcMar>
              <w:top w:w="50" w:type="dxa"/>
              <w:bottom w:w="50" w:type="dxa"/>
              <w:left w:w="80" w:type="dxa"/>
              <w:right w:w="80" w:type="dxa"/>
            </w:tcMar>
            <w:shd w:fill="F7FAFC"/>
          </w:tcPr>
          <w:p>
            <w:r>
              <w:rPr>
                <w:sz w:val="17"/>
              </w:rPr>
              <w:t>rho</w:t>
            </w:r>
          </w:p>
        </w:tc>
        <w:tc>
          <w:tcPr>
            <w:tcW w:type="dxa" w:w="3120"/>
            <w:tcMar>
              <w:top w:w="50" w:type="dxa"/>
              <w:bottom w:w="50" w:type="dxa"/>
              <w:left w:w="80" w:type="dxa"/>
              <w:right w:w="80" w:type="dxa"/>
            </w:tcMar>
            <w:shd w:fill="F7FAFC"/>
          </w:tcPr>
          <w:p>
            <w:r>
              <w:rPr>
                <w:sz w:val="17"/>
              </w:rPr>
              <w:t>1000 m (User-adjustable 500-1500 m)</w:t>
            </w:r>
          </w:p>
        </w:tc>
      </w:tr>
      <w:tr>
        <w:tc>
          <w:tcPr>
            <w:tcW w:type="dxa" w:w="3120"/>
            <w:tcMar>
              <w:top w:w="50" w:type="dxa"/>
              <w:bottom w:w="50" w:type="dxa"/>
              <w:left w:w="80" w:type="dxa"/>
              <w:right w:w="80" w:type="dxa"/>
            </w:tcMar>
          </w:tcPr>
          <w:p>
            <w:r>
              <w:rPr>
                <w:sz w:val="17"/>
              </w:rPr>
              <w:t>Severity Range</w:t>
            </w:r>
          </w:p>
        </w:tc>
        <w:tc>
          <w:tcPr>
            <w:tcW w:type="dxa" w:w="3120"/>
            <w:tcMar>
              <w:top w:w="50" w:type="dxa"/>
              <w:bottom w:w="50" w:type="dxa"/>
              <w:left w:w="80" w:type="dxa"/>
              <w:right w:w="80" w:type="dxa"/>
            </w:tcMar>
          </w:tcPr>
          <w:p>
            <w:r>
              <w:rPr>
                <w:sz w:val="17"/>
              </w:rPr>
              <w:t>s_i</w:t>
            </w:r>
          </w:p>
        </w:tc>
        <w:tc>
          <w:tcPr>
            <w:tcW w:type="dxa" w:w="3120"/>
            <w:tcMar>
              <w:top w:w="50" w:type="dxa"/>
              <w:bottom w:w="50" w:type="dxa"/>
              <w:left w:w="80" w:type="dxa"/>
              <w:right w:w="80" w:type="dxa"/>
            </w:tcMar>
          </w:tcPr>
          <w:p>
            <w:r>
              <w:rPr>
                <w:sz w:val="17"/>
              </w:rPr>
              <w:t>2.0 - 10.0 (Categorical mapping)</w:t>
            </w:r>
          </w:p>
        </w:tc>
      </w:tr>
      <w:tr>
        <w:tc>
          <w:tcPr>
            <w:tcW w:type="dxa" w:w="3120"/>
            <w:tcMar>
              <w:top w:w="50" w:type="dxa"/>
              <w:bottom w:w="50" w:type="dxa"/>
              <w:left w:w="80" w:type="dxa"/>
              <w:right w:w="80" w:type="dxa"/>
            </w:tcMar>
            <w:shd w:fill="F7FAFC"/>
          </w:tcPr>
          <w:p>
            <w:r>
              <w:rPr>
                <w:sz w:val="17"/>
              </w:rPr>
              <w:t>Distance Decay</w:t>
            </w:r>
          </w:p>
        </w:tc>
        <w:tc>
          <w:tcPr>
            <w:tcW w:type="dxa" w:w="3120"/>
            <w:tcMar>
              <w:top w:w="50" w:type="dxa"/>
              <w:bottom w:w="50" w:type="dxa"/>
              <w:left w:w="80" w:type="dxa"/>
              <w:right w:w="80" w:type="dxa"/>
            </w:tcMar>
            <w:shd w:fill="F7FAFC"/>
          </w:tcPr>
          <w:p>
            <w:r>
              <w:rPr>
                <w:sz w:val="17"/>
              </w:rPr>
              <w:t>delta(d)</w:t>
            </w:r>
          </w:p>
        </w:tc>
        <w:tc>
          <w:tcPr>
            <w:tcW w:type="dxa" w:w="3120"/>
            <w:tcMar>
              <w:top w:w="50" w:type="dxa"/>
              <w:bottom w:w="50" w:type="dxa"/>
              <w:left w:w="80" w:type="dxa"/>
              <w:right w:w="80" w:type="dxa"/>
            </w:tcMar>
            <w:shd w:fill="F7FAFC"/>
          </w:tcPr>
          <w:p>
            <w:r>
              <w:rPr>
                <w:sz w:val="17"/>
              </w:rPr>
              <w:t>Linear: 1 - (d / rho)</w:t>
            </w:r>
          </w:p>
        </w:tc>
      </w:tr>
      <w:tr>
        <w:tc>
          <w:tcPr>
            <w:tcW w:type="dxa" w:w="3120"/>
            <w:tcMar>
              <w:top w:w="50" w:type="dxa"/>
              <w:bottom w:w="50" w:type="dxa"/>
              <w:left w:w="80" w:type="dxa"/>
              <w:right w:w="80" w:type="dxa"/>
            </w:tcMar>
          </w:tcPr>
          <w:p>
            <w:r>
              <w:rPr>
                <w:sz w:val="17"/>
              </w:rPr>
              <w:t>Recency Step</w:t>
            </w:r>
          </w:p>
        </w:tc>
        <w:tc>
          <w:tcPr>
            <w:tcW w:type="dxa" w:w="3120"/>
            <w:tcMar>
              <w:top w:w="50" w:type="dxa"/>
              <w:bottom w:w="50" w:type="dxa"/>
              <w:left w:w="80" w:type="dxa"/>
              <w:right w:w="80" w:type="dxa"/>
            </w:tcMar>
          </w:tcPr>
          <w:p>
            <w:r>
              <w:rPr>
                <w:sz w:val="17"/>
              </w:rPr>
              <w:t>w(a)</w:t>
            </w:r>
          </w:p>
        </w:tc>
        <w:tc>
          <w:tcPr>
            <w:tcW w:type="dxa" w:w="3120"/>
            <w:tcMar>
              <w:top w:w="50" w:type="dxa"/>
              <w:bottom w:w="50" w:type="dxa"/>
              <w:left w:w="80" w:type="dxa"/>
              <w:right w:w="80" w:type="dxa"/>
            </w:tcMar>
          </w:tcPr>
          <w:p>
            <w:r>
              <w:rPr>
                <w:sz w:val="17"/>
              </w:rPr>
              <w:t>1.0 (&lt;=6 mo), 0.7 (6-24 mo), 0.4 (&gt;24 mo)</w:t>
            </w:r>
          </w:p>
        </w:tc>
      </w:tr>
      <w:tr>
        <w:tc>
          <w:tcPr>
            <w:tcW w:type="dxa" w:w="3120"/>
            <w:tcMar>
              <w:top w:w="50" w:type="dxa"/>
              <w:bottom w:w="50" w:type="dxa"/>
              <w:left w:w="80" w:type="dxa"/>
              <w:right w:w="80" w:type="dxa"/>
            </w:tcMar>
            <w:shd w:fill="F7FAFC"/>
          </w:tcPr>
          <w:p>
            <w:r>
              <w:rPr>
                <w:sz w:val="17"/>
              </w:rPr>
              <w:t>Saturation Cap</w:t>
            </w:r>
          </w:p>
        </w:tc>
        <w:tc>
          <w:tcPr>
            <w:tcW w:type="dxa" w:w="3120"/>
            <w:tcMar>
              <w:top w:w="50" w:type="dxa"/>
              <w:bottom w:w="50" w:type="dxa"/>
              <w:left w:w="80" w:type="dxa"/>
              <w:right w:w="80" w:type="dxa"/>
            </w:tcMar>
            <w:shd w:fill="F7FAFC"/>
          </w:tcPr>
          <w:p>
            <w:r>
              <w:rPr>
                <w:sz w:val="17"/>
              </w:rPr>
              <w:t>R_ref</w:t>
            </w:r>
          </w:p>
        </w:tc>
        <w:tc>
          <w:tcPr>
            <w:tcW w:type="dxa" w:w="3120"/>
            <w:tcMar>
              <w:top w:w="50" w:type="dxa"/>
              <w:bottom w:w="50" w:type="dxa"/>
              <w:left w:w="80" w:type="dxa"/>
              <w:right w:w="80" w:type="dxa"/>
            </w:tcMar>
            <w:shd w:fill="F7FAFC"/>
          </w:tcPr>
          <w:p>
            <w:r>
              <w:rPr>
                <w:sz w:val="17"/>
              </w:rPr>
              <w:t>35.0 (Calibrated empirical ceiling)</w:t>
            </w:r>
          </w:p>
        </w:tc>
      </w:tr>
      <w:tr>
        <w:tc>
          <w:tcPr>
            <w:tcW w:type="dxa" w:w="3120"/>
            <w:tcMar>
              <w:top w:w="50" w:type="dxa"/>
              <w:bottom w:w="50" w:type="dxa"/>
              <w:left w:w="80" w:type="dxa"/>
              <w:right w:w="80" w:type="dxa"/>
            </w:tcMar>
          </w:tcPr>
          <w:p>
            <w:r>
              <w:rPr>
                <w:sz w:val="17"/>
              </w:rPr>
              <w:t>Zone Cutoffs</w:t>
            </w:r>
          </w:p>
        </w:tc>
        <w:tc>
          <w:tcPr>
            <w:tcW w:type="dxa" w:w="3120"/>
            <w:tcMar>
              <w:top w:w="50" w:type="dxa"/>
              <w:bottom w:w="50" w:type="dxa"/>
              <w:left w:w="80" w:type="dxa"/>
              <w:right w:w="80" w:type="dxa"/>
            </w:tcMar>
          </w:tcPr>
          <w:p>
            <w:r>
              <w:rPr>
                <w:sz w:val="17"/>
              </w:rPr>
              <w:t>Z</w:t>
            </w:r>
          </w:p>
        </w:tc>
        <w:tc>
          <w:tcPr>
            <w:tcW w:type="dxa" w:w="3120"/>
            <w:tcMar>
              <w:top w:w="50" w:type="dxa"/>
              <w:bottom w:w="50" w:type="dxa"/>
              <w:left w:w="80" w:type="dxa"/>
              <w:right w:w="80" w:type="dxa"/>
            </w:tcMar>
          </w:tcPr>
          <w:p>
            <w:r>
              <w:rPr>
                <w:sz w:val="17"/>
              </w:rPr>
              <w:t>Red: &gt;= 60; Yellow: 30-59; Green: &lt; 30</w:t>
            </w:r>
          </w:p>
        </w:tc>
      </w:tr>
    </w:tbl>
    <w:p>
      <w:pPr>
        <w:spacing w:before="240" w:after="80"/>
      </w:pPr>
      <w:r>
        <w:rPr>
          <w:b/>
          <w:color w:val="2B6CB0"/>
          <w:sz w:val="22"/>
        </w:rPr>
        <w:t>C. Pre-Visit Destination Advisory Module</w:t>
      </w:r>
    </w:p>
    <w:p>
      <w:pPr>
        <w:spacing w:after="120" w:line="276" w:lineRule="auto"/>
        <w:jc w:val="both"/>
      </w:pPr>
      <w:r>
        <w:rPr>
          <w:sz w:val="20"/>
        </w:rPr>
        <w:t>Unlike algorithmic black boxes that simply issue a numeric probability, CrimeSense implements an explainable, rule-based Pre-Visit Destination Advisory. When a citizen plans travel to an unfamiliar neighborhood, the system synthesizes recent incidents within radius rho into an intuitive advisory card with transparent natural language explanations (Table III).</w:t>
      </w:r>
    </w:p>
    <w:p>
      <w:pPr>
        <w:spacing w:before="160" w:after="80"/>
      </w:pPr>
      <w:r>
        <w:rPr>
          <w:b/>
        </w:rPr>
        <w:t>TABLE III. RULE-BASED PRE-VISIT ADVISORY GENERATION MAPPINGS</w:t>
      </w:r>
    </w:p>
    <w:tbl>
      <w:tblPr>
        <w:tblW w:type="auto" w:w="0"/>
        <w:tblLook w:firstColumn="1" w:firstRow="1" w:lastColumn="0" w:lastRow="0" w:noHBand="0" w:noVBand="1" w:val="04A0"/>
        <w:tblBorders>
          <w:top w:val="single" w:sz="6" w:space="0" w:color="CCCCCC"/>
          <w:bottom w:val="single" w:sz="8" w:space="0" w:color="1F497D"/>
          <w:insideH w:val="single" w:sz="4" w:space="0" w:color="E0E0E0"/>
          <w:insideV w:val="none"/>
          <w:left w:val="none"/>
          <w:right w:val="none"/>
        </w:tblBorders>
      </w:tblPr>
      <w:tblGrid>
        <w:gridCol w:w="4680"/>
        <w:gridCol w:w="4680"/>
      </w:tblGrid>
      <w:tr>
        <w:tc>
          <w:tcPr>
            <w:tcW w:type="dxa" w:w="4680"/>
            <w:shd w:fill="1F497D"/>
          </w:tcPr>
          <w:p>
            <w:pPr>
              <w:jc w:val="center"/>
            </w:pPr>
            <w:r>
              <w:rPr>
                <w:rFonts w:ascii="Calibri" w:hAnsi="Calibri"/>
                <w:b/>
                <w:color w:val="FFFFFF"/>
                <w:sz w:val="19"/>
              </w:rPr>
              <w:t>Condition</w:t>
            </w:r>
          </w:p>
        </w:tc>
        <w:tc>
          <w:tcPr>
            <w:tcW w:type="dxa" w:w="4680"/>
            <w:shd w:fill="1F497D"/>
          </w:tcPr>
          <w:p>
            <w:pPr>
              <w:jc w:val="center"/>
            </w:pPr>
            <w:r>
              <w:rPr>
                <w:rFonts w:ascii="Calibri" w:hAnsi="Calibri"/>
                <w:b/>
                <w:color w:val="FFFFFF"/>
                <w:sz w:val="19"/>
              </w:rPr>
              <w:t>Synthesized Guidance Text</w:t>
            </w:r>
          </w:p>
        </w:tc>
      </w:tr>
      <w:tr>
        <w:tc>
          <w:tcPr>
            <w:tcW w:type="dxa" w:w="4680"/>
            <w:tcMar>
              <w:top w:w="50" w:type="dxa"/>
              <w:bottom w:w="50" w:type="dxa"/>
              <w:left w:w="80" w:type="dxa"/>
              <w:right w:w="80" w:type="dxa"/>
            </w:tcMar>
            <w:shd w:fill="F7FAFC"/>
          </w:tcPr>
          <w:p>
            <w:r>
              <w:rPr>
                <w:sz w:val="17"/>
              </w:rPr>
              <w:t>Green (N = 0)</w:t>
            </w:r>
          </w:p>
        </w:tc>
        <w:tc>
          <w:tcPr>
            <w:tcW w:type="dxa" w:w="4680"/>
            <w:tcMar>
              <w:top w:w="50" w:type="dxa"/>
              <w:bottom w:w="50" w:type="dxa"/>
              <w:left w:w="80" w:type="dxa"/>
              <w:right w:w="80" w:type="dxa"/>
            </w:tcMar>
            <w:shd w:fill="F7FAFC"/>
          </w:tcPr>
          <w:p>
            <w:r>
              <w:rPr>
                <w:sz w:val="17"/>
              </w:rPr>
              <w:t>No historical news reports within horizon. Standard vigilance recommended; maintain situational awareness.</w:t>
            </w:r>
          </w:p>
        </w:tc>
      </w:tr>
      <w:tr>
        <w:tc>
          <w:tcPr>
            <w:tcW w:type="dxa" w:w="4680"/>
            <w:tcMar>
              <w:top w:w="50" w:type="dxa"/>
              <w:bottom w:w="50" w:type="dxa"/>
              <w:left w:w="80" w:type="dxa"/>
              <w:right w:w="80" w:type="dxa"/>
            </w:tcMar>
          </w:tcPr>
          <w:p>
            <w:r>
              <w:rPr>
                <w:sz w:val="17"/>
              </w:rPr>
              <w:t>Green (N &gt; 0)</w:t>
            </w:r>
          </w:p>
        </w:tc>
        <w:tc>
          <w:tcPr>
            <w:tcW w:type="dxa" w:w="4680"/>
            <w:tcMar>
              <w:top w:w="50" w:type="dxa"/>
              <w:bottom w:w="50" w:type="dxa"/>
              <w:left w:w="80" w:type="dxa"/>
              <w:right w:w="80" w:type="dxa"/>
            </w:tcMar>
          </w:tcPr>
          <w:p>
            <w:r>
              <w:rPr>
                <w:sz w:val="17"/>
              </w:rPr>
              <w:t>Minimal past incidents recorded. Local area predominantly calm. Maintain standard personal precautions.</w:t>
            </w:r>
          </w:p>
        </w:tc>
      </w:tr>
      <w:tr>
        <w:tc>
          <w:tcPr>
            <w:tcW w:type="dxa" w:w="4680"/>
            <w:tcMar>
              <w:top w:w="50" w:type="dxa"/>
              <w:bottom w:w="50" w:type="dxa"/>
              <w:left w:w="80" w:type="dxa"/>
              <w:right w:w="80" w:type="dxa"/>
            </w:tcMar>
            <w:shd w:fill="F7FAFC"/>
          </w:tcPr>
          <w:p>
            <w:r>
              <w:rPr>
                <w:sz w:val="17"/>
              </w:rPr>
              <w:t>Yellow</w:t>
            </w:r>
          </w:p>
        </w:tc>
        <w:tc>
          <w:tcPr>
            <w:tcW w:type="dxa" w:w="4680"/>
            <w:tcMar>
              <w:top w:w="50" w:type="dxa"/>
              <w:bottom w:w="50" w:type="dxa"/>
              <w:left w:w="80" w:type="dxa"/>
              <w:right w:w="80" w:type="dxa"/>
            </w:tcMar>
            <w:shd w:fill="F7FAFC"/>
          </w:tcPr>
          <w:p>
            <w:r>
              <w:rPr>
                <w:sz w:val="17"/>
              </w:rPr>
              <w:t>Moderate incident frequency detected. Prefer well-lit thoroughfares; avoid secluded shortcuts; inform a contact.</w:t>
            </w:r>
          </w:p>
        </w:tc>
      </w:tr>
      <w:tr>
        <w:tc>
          <w:tcPr>
            <w:tcW w:type="dxa" w:w="4680"/>
            <w:tcMar>
              <w:top w:w="50" w:type="dxa"/>
              <w:bottom w:w="50" w:type="dxa"/>
              <w:left w:w="80" w:type="dxa"/>
              <w:right w:w="80" w:type="dxa"/>
            </w:tcMar>
          </w:tcPr>
          <w:p>
            <w:r>
              <w:rPr>
                <w:sz w:val="17"/>
              </w:rPr>
              <w:t>Red</w:t>
            </w:r>
          </w:p>
        </w:tc>
        <w:tc>
          <w:tcPr>
            <w:tcW w:type="dxa" w:w="4680"/>
            <w:tcMar>
              <w:top w:w="50" w:type="dxa"/>
              <w:bottom w:w="50" w:type="dxa"/>
              <w:left w:w="80" w:type="dxa"/>
              <w:right w:w="80" w:type="dxa"/>
            </w:tcMar>
          </w:tcPr>
          <w:p>
            <w:r>
              <w:rPr>
                <w:sz w:val="17"/>
              </w:rPr>
              <w:t>Elevated concentration of severe reports. Daytime transit preferred; traveling with a companion is strongly recommended.</w:t>
            </w:r>
          </w:p>
        </w:tc>
      </w:tr>
      <w:tr>
        <w:tc>
          <w:tcPr>
            <w:tcW w:type="dxa" w:w="4680"/>
            <w:tcMar>
              <w:top w:w="50" w:type="dxa"/>
              <w:bottom w:w="50" w:type="dxa"/>
              <w:left w:w="80" w:type="dxa"/>
              <w:right w:w="80" w:type="dxa"/>
            </w:tcMar>
            <w:shd w:fill="F7FAFC"/>
          </w:tcPr>
          <w:p>
            <w:r>
              <w:rPr>
                <w:sz w:val="17"/>
              </w:rPr>
              <w:t>Violent offenses in Top 3</w:t>
            </w:r>
          </w:p>
        </w:tc>
        <w:tc>
          <w:tcPr>
            <w:tcW w:type="dxa" w:w="4680"/>
            <w:tcMar>
              <w:top w:w="50" w:type="dxa"/>
              <w:bottom w:w="50" w:type="dxa"/>
              <w:left w:w="80" w:type="dxa"/>
              <w:right w:w="80" w:type="dxa"/>
            </w:tcMar>
            <w:shd w:fill="F7FAFC"/>
          </w:tcPr>
          <w:p>
            <w:r>
              <w:rPr>
                <w:sz w:val="17"/>
              </w:rPr>
              <w:t>[Appended Advisory] Interpersonal violence reported in sector; avoid traveling alone after dark.</w:t>
            </w:r>
          </w:p>
        </w:tc>
      </w:tr>
      <w:tr>
        <w:tc>
          <w:tcPr>
            <w:tcW w:type="dxa" w:w="4680"/>
            <w:tcMar>
              <w:top w:w="50" w:type="dxa"/>
              <w:bottom w:w="50" w:type="dxa"/>
              <w:left w:w="80" w:type="dxa"/>
              <w:right w:w="80" w:type="dxa"/>
            </w:tcMar>
          </w:tcPr>
          <w:p>
            <w:r>
              <w:rPr>
                <w:sz w:val="17"/>
              </w:rPr>
              <w:t>Theft/Cyber in Top 3</w:t>
            </w:r>
          </w:p>
        </w:tc>
        <w:tc>
          <w:tcPr>
            <w:tcW w:type="dxa" w:w="4680"/>
            <w:tcMar>
              <w:top w:w="50" w:type="dxa"/>
              <w:bottom w:w="50" w:type="dxa"/>
              <w:left w:w="80" w:type="dxa"/>
              <w:right w:w="80" w:type="dxa"/>
            </w:tcMar>
          </w:tcPr>
          <w:p>
            <w:r>
              <w:rPr>
                <w:sz w:val="17"/>
              </w:rPr>
              <w:t>[Appended Advisory] Property/snatching offenses observed; secure personal bags and mobile handsets.</w:t>
            </w:r>
          </w:p>
        </w:tc>
      </w:tr>
    </w:tbl>
    <w:p>
      <w:pPr>
        <w:spacing w:before="240" w:after="80"/>
      </w:pPr>
      <w:r>
        <w:rPr>
          <w:b/>
          <w:color w:val="2B6CB0"/>
          <w:sz w:val="22"/>
        </w:rPr>
        <w:t>D. Safe-Haven Spatial Optimization Algorithm</w:t>
      </w:r>
    </w:p>
    <w:p>
      <w:pPr>
        <w:spacing w:after="120" w:line="276" w:lineRule="auto"/>
        <w:jc w:val="both"/>
      </w:pPr>
      <w:r>
        <w:rPr>
          <w:sz w:val="20"/>
        </w:rPr>
        <w:t>When an individual feels unsettled, anxious, or pursued, simply displaying a high-risk Red Zone badge exacerbates distress. CrimeSense incorporates an active Safe-Haven Discovery algorithm that identifies, scores, and navigates the citizen to the nearest secure, occupied location. Candidate safe havens are drawn from urban points of interest categorized across civic infrastructure and commercial hubs (Table IV). For candidate haven p within walking distance d_p &lt;= 2000 m, the utility score H(p) is formulated as:</w:t>
      </w:r>
    </w:p>
    <w:p>
      <w:pPr>
        <w:spacing w:before="80" w:after="120"/>
        <w:jc w:val="center"/>
      </w:pPr>
      <w:r>
        <w:rPr>
          <w:rFonts w:ascii="Cambria Math" w:hAnsi="Cambria Math"/>
          <w:b/>
          <w:color w:val="1A202C"/>
          <w:sz w:val="21"/>
        </w:rPr>
        <w:t xml:space="preserve">    H(p) = w_c * o(p, t) * exp( -d_p / lambda ) * ( 1 - Z_p / 100 )        (7)</w:t>
      </w:r>
    </w:p>
    <w:p>
      <w:pPr>
        <w:spacing w:after="120" w:line="276" w:lineRule="auto"/>
        <w:jc w:val="both"/>
      </w:pPr>
      <w:r>
        <w:rPr>
          <w:sz w:val="20"/>
        </w:rPr>
        <w:t>where w_c in [0.5, 1.0] denotes baseline guardianship weight, o(p, t) represents operational status at time t (1.0 if open, 0.0 if closed, 0.5 if unspecified), lambda = 500 m is walking decay, and (1 - Z_p / 100) penalizes havens situated inside acute crime hotspots.</w:t>
      </w:r>
    </w:p>
    <w:p>
      <w:pPr>
        <w:spacing w:before="160" w:after="80"/>
      </w:pPr>
      <w:r>
        <w:rPr>
          <w:b/>
        </w:rPr>
        <w:t>TABLE IV. SAFE-HAVEN CATEGORIES, OPENSTREETMAP TAGS, AND GUARDIANSHIP WEIGHTS</w:t>
      </w:r>
    </w:p>
    <w:tbl>
      <w:tblPr>
        <w:tblW w:type="auto" w:w="0"/>
        <w:tblLook w:firstColumn="1" w:firstRow="1" w:lastColumn="0" w:lastRow="0" w:noHBand="0" w:noVBand="1" w:val="04A0"/>
        <w:tblBorders>
          <w:top w:val="single" w:sz="6" w:space="0" w:color="CCCCCC"/>
          <w:bottom w:val="single" w:sz="8" w:space="0" w:color="1F497D"/>
          <w:insideH w:val="single" w:sz="4" w:space="0" w:color="E0E0E0"/>
          <w:insideV w:val="none"/>
          <w:left w:val="none"/>
          <w:right w:val="none"/>
        </w:tblBorders>
      </w:tblPr>
      <w:tblGrid>
        <w:gridCol w:w="3120"/>
        <w:gridCol w:w="3120"/>
        <w:gridCol w:w="3120"/>
      </w:tblGrid>
      <w:tr>
        <w:tc>
          <w:tcPr>
            <w:tcW w:type="dxa" w:w="3120"/>
            <w:shd w:fill="1F497D"/>
          </w:tcPr>
          <w:p>
            <w:pPr>
              <w:jc w:val="center"/>
            </w:pPr>
            <w:r>
              <w:rPr>
                <w:rFonts w:ascii="Calibri" w:hAnsi="Calibri"/>
                <w:b/>
                <w:color w:val="FFFFFF"/>
                <w:sz w:val="19"/>
              </w:rPr>
              <w:t>Facility Category</w:t>
            </w:r>
          </w:p>
        </w:tc>
        <w:tc>
          <w:tcPr>
            <w:tcW w:type="dxa" w:w="3120"/>
            <w:shd w:fill="1F497D"/>
          </w:tcPr>
          <w:p>
            <w:pPr>
              <w:jc w:val="center"/>
            </w:pPr>
            <w:r>
              <w:rPr>
                <w:rFonts w:ascii="Calibri" w:hAnsi="Calibri"/>
                <w:b/>
                <w:color w:val="FFFFFF"/>
                <w:sz w:val="19"/>
              </w:rPr>
              <w:t>OSM Key / Tag Filter</w:t>
            </w:r>
          </w:p>
        </w:tc>
        <w:tc>
          <w:tcPr>
            <w:tcW w:type="dxa" w:w="3120"/>
            <w:shd w:fill="1F497D"/>
          </w:tcPr>
          <w:p>
            <w:pPr>
              <w:jc w:val="center"/>
            </w:pPr>
            <w:r>
              <w:rPr>
                <w:rFonts w:ascii="Calibri" w:hAnsi="Calibri"/>
                <w:b/>
                <w:color w:val="FFFFFF"/>
                <w:sz w:val="19"/>
              </w:rPr>
              <w:t>Weight (w_c)</w:t>
            </w:r>
          </w:p>
        </w:tc>
      </w:tr>
      <w:tr>
        <w:tc>
          <w:tcPr>
            <w:tcW w:type="dxa" w:w="3120"/>
            <w:tcMar>
              <w:top w:w="50" w:type="dxa"/>
              <w:bottom w:w="50" w:type="dxa"/>
              <w:left w:w="80" w:type="dxa"/>
              <w:right w:w="80" w:type="dxa"/>
            </w:tcMar>
            <w:shd w:fill="F7FAFC"/>
          </w:tcPr>
          <w:p>
            <w:r>
              <w:rPr>
                <w:sz w:val="17"/>
              </w:rPr>
              <w:t>Police Station / Post</w:t>
            </w:r>
          </w:p>
        </w:tc>
        <w:tc>
          <w:tcPr>
            <w:tcW w:type="dxa" w:w="3120"/>
            <w:tcMar>
              <w:top w:w="50" w:type="dxa"/>
              <w:bottom w:w="50" w:type="dxa"/>
              <w:left w:w="80" w:type="dxa"/>
              <w:right w:w="80" w:type="dxa"/>
            </w:tcMar>
            <w:shd w:fill="F7FAFC"/>
          </w:tcPr>
          <w:p>
            <w:r>
              <w:rPr>
                <w:sz w:val="17"/>
              </w:rPr>
              <w:t>amenity=police</w:t>
            </w:r>
          </w:p>
        </w:tc>
        <w:tc>
          <w:tcPr>
            <w:tcW w:type="dxa" w:w="3120"/>
            <w:tcMar>
              <w:top w:w="50" w:type="dxa"/>
              <w:bottom w:w="50" w:type="dxa"/>
              <w:left w:w="80" w:type="dxa"/>
              <w:right w:w="80" w:type="dxa"/>
            </w:tcMar>
            <w:shd w:fill="F7FAFC"/>
          </w:tcPr>
          <w:p>
            <w:r>
              <w:rPr>
                <w:sz w:val="17"/>
              </w:rPr>
              <w:t>1.00</w:t>
            </w:r>
          </w:p>
        </w:tc>
      </w:tr>
      <w:tr>
        <w:tc>
          <w:tcPr>
            <w:tcW w:type="dxa" w:w="3120"/>
            <w:tcMar>
              <w:top w:w="50" w:type="dxa"/>
              <w:bottom w:w="50" w:type="dxa"/>
              <w:left w:w="80" w:type="dxa"/>
              <w:right w:w="80" w:type="dxa"/>
            </w:tcMar>
          </w:tcPr>
          <w:p>
            <w:r>
              <w:rPr>
                <w:sz w:val="17"/>
              </w:rPr>
              <w:t>Hospital / 24-hr Clinic</w:t>
            </w:r>
          </w:p>
        </w:tc>
        <w:tc>
          <w:tcPr>
            <w:tcW w:type="dxa" w:w="3120"/>
            <w:tcMar>
              <w:top w:w="50" w:type="dxa"/>
              <w:bottom w:w="50" w:type="dxa"/>
              <w:left w:w="80" w:type="dxa"/>
              <w:right w:w="80" w:type="dxa"/>
            </w:tcMar>
          </w:tcPr>
          <w:p>
            <w:r>
              <w:rPr>
                <w:sz w:val="17"/>
              </w:rPr>
              <w:t>amenity=hospital, clinic</w:t>
            </w:r>
          </w:p>
        </w:tc>
        <w:tc>
          <w:tcPr>
            <w:tcW w:type="dxa" w:w="3120"/>
            <w:tcMar>
              <w:top w:w="50" w:type="dxa"/>
              <w:bottom w:w="50" w:type="dxa"/>
              <w:left w:w="80" w:type="dxa"/>
              <w:right w:w="80" w:type="dxa"/>
            </w:tcMar>
          </w:tcPr>
          <w:p>
            <w:r>
              <w:rPr>
                <w:sz w:val="17"/>
              </w:rPr>
              <w:t>0.90</w:t>
            </w:r>
          </w:p>
        </w:tc>
      </w:tr>
      <w:tr>
        <w:tc>
          <w:tcPr>
            <w:tcW w:type="dxa" w:w="3120"/>
            <w:tcMar>
              <w:top w:w="50" w:type="dxa"/>
              <w:bottom w:w="50" w:type="dxa"/>
              <w:left w:w="80" w:type="dxa"/>
              <w:right w:w="80" w:type="dxa"/>
            </w:tcMar>
            <w:shd w:fill="F7FAFC"/>
          </w:tcPr>
          <w:p>
            <w:r>
              <w:rPr>
                <w:sz w:val="17"/>
              </w:rPr>
              <w:t>Government Office</w:t>
            </w:r>
          </w:p>
        </w:tc>
        <w:tc>
          <w:tcPr>
            <w:tcW w:type="dxa" w:w="3120"/>
            <w:tcMar>
              <w:top w:w="50" w:type="dxa"/>
              <w:bottom w:w="50" w:type="dxa"/>
              <w:left w:w="80" w:type="dxa"/>
              <w:right w:w="80" w:type="dxa"/>
            </w:tcMar>
            <w:shd w:fill="F7FAFC"/>
          </w:tcPr>
          <w:p>
            <w:r>
              <w:rPr>
                <w:sz w:val="17"/>
              </w:rPr>
              <w:t>office=government</w:t>
            </w:r>
          </w:p>
        </w:tc>
        <w:tc>
          <w:tcPr>
            <w:tcW w:type="dxa" w:w="3120"/>
            <w:tcMar>
              <w:top w:w="50" w:type="dxa"/>
              <w:bottom w:w="50" w:type="dxa"/>
              <w:left w:w="80" w:type="dxa"/>
              <w:right w:w="80" w:type="dxa"/>
            </w:tcMar>
            <w:shd w:fill="F7FAFC"/>
          </w:tcPr>
          <w:p>
            <w:r>
              <w:rPr>
                <w:sz w:val="17"/>
              </w:rPr>
              <w:t>0.75</w:t>
            </w:r>
          </w:p>
        </w:tc>
      </w:tr>
      <w:tr>
        <w:tc>
          <w:tcPr>
            <w:tcW w:type="dxa" w:w="3120"/>
            <w:tcMar>
              <w:top w:w="50" w:type="dxa"/>
              <w:bottom w:w="50" w:type="dxa"/>
              <w:left w:w="80" w:type="dxa"/>
              <w:right w:w="80" w:type="dxa"/>
            </w:tcMar>
          </w:tcPr>
          <w:p>
            <w:r>
              <w:rPr>
                <w:sz w:val="17"/>
              </w:rPr>
              <w:t>Supermarket / Shopping Mall</w:t>
            </w:r>
          </w:p>
        </w:tc>
        <w:tc>
          <w:tcPr>
            <w:tcW w:type="dxa" w:w="3120"/>
            <w:tcMar>
              <w:top w:w="50" w:type="dxa"/>
              <w:bottom w:w="50" w:type="dxa"/>
              <w:left w:w="80" w:type="dxa"/>
              <w:right w:w="80" w:type="dxa"/>
            </w:tcMar>
          </w:tcPr>
          <w:p>
            <w:r>
              <w:rPr>
                <w:sz w:val="17"/>
              </w:rPr>
              <w:t>shop=supermarket, mall</w:t>
            </w:r>
          </w:p>
        </w:tc>
        <w:tc>
          <w:tcPr>
            <w:tcW w:type="dxa" w:w="3120"/>
            <w:tcMar>
              <w:top w:w="50" w:type="dxa"/>
              <w:bottom w:w="50" w:type="dxa"/>
              <w:left w:w="80" w:type="dxa"/>
              <w:right w:w="80" w:type="dxa"/>
            </w:tcMar>
          </w:tcPr>
          <w:p>
            <w:r>
              <w:rPr>
                <w:sz w:val="17"/>
              </w:rPr>
              <w:t>0.70</w:t>
            </w:r>
          </w:p>
        </w:tc>
      </w:tr>
      <w:tr>
        <w:tc>
          <w:tcPr>
            <w:tcW w:type="dxa" w:w="3120"/>
            <w:tcMar>
              <w:top w:w="50" w:type="dxa"/>
              <w:bottom w:w="50" w:type="dxa"/>
              <w:left w:w="80" w:type="dxa"/>
              <w:right w:w="80" w:type="dxa"/>
            </w:tcMar>
            <w:shd w:fill="F7FAFC"/>
          </w:tcPr>
          <w:p>
            <w:r>
              <w:rPr>
                <w:sz w:val="17"/>
              </w:rPr>
              <w:t>24/7 Pharmacy / Fuel Bunk</w:t>
            </w:r>
          </w:p>
        </w:tc>
        <w:tc>
          <w:tcPr>
            <w:tcW w:type="dxa" w:w="3120"/>
            <w:tcMar>
              <w:top w:w="50" w:type="dxa"/>
              <w:bottom w:w="50" w:type="dxa"/>
              <w:left w:w="80" w:type="dxa"/>
              <w:right w:w="80" w:type="dxa"/>
            </w:tcMar>
            <w:shd w:fill="F7FAFC"/>
          </w:tcPr>
          <w:p>
            <w:r>
              <w:rPr>
                <w:sz w:val="17"/>
              </w:rPr>
              <w:t>amenity=pharmacy, fuel</w:t>
            </w:r>
          </w:p>
        </w:tc>
        <w:tc>
          <w:tcPr>
            <w:tcW w:type="dxa" w:w="3120"/>
            <w:tcMar>
              <w:top w:w="50" w:type="dxa"/>
              <w:bottom w:w="50" w:type="dxa"/>
              <w:left w:w="80" w:type="dxa"/>
              <w:right w:w="80" w:type="dxa"/>
            </w:tcMar>
            <w:shd w:fill="F7FAFC"/>
          </w:tcPr>
          <w:p>
            <w:r>
              <w:rPr>
                <w:sz w:val="17"/>
              </w:rPr>
              <w:t>0.65</w:t>
            </w:r>
          </w:p>
        </w:tc>
      </w:tr>
      <w:tr>
        <w:tc>
          <w:tcPr>
            <w:tcW w:type="dxa" w:w="3120"/>
            <w:tcMar>
              <w:top w:w="50" w:type="dxa"/>
              <w:bottom w:w="50" w:type="dxa"/>
              <w:left w:w="80" w:type="dxa"/>
              <w:right w:w="80" w:type="dxa"/>
            </w:tcMar>
          </w:tcPr>
          <w:p>
            <w:r>
              <w:rPr>
                <w:sz w:val="17"/>
              </w:rPr>
              <w:t>Transit Terminal / Bus Station</w:t>
            </w:r>
          </w:p>
        </w:tc>
        <w:tc>
          <w:tcPr>
            <w:tcW w:type="dxa" w:w="3120"/>
            <w:tcMar>
              <w:top w:w="50" w:type="dxa"/>
              <w:bottom w:w="50" w:type="dxa"/>
              <w:left w:w="80" w:type="dxa"/>
              <w:right w:w="80" w:type="dxa"/>
            </w:tcMar>
          </w:tcPr>
          <w:p>
            <w:r>
              <w:rPr>
                <w:sz w:val="17"/>
              </w:rPr>
              <w:t>amenity=bus_station</w:t>
            </w:r>
          </w:p>
        </w:tc>
        <w:tc>
          <w:tcPr>
            <w:tcW w:type="dxa" w:w="3120"/>
            <w:tcMar>
              <w:top w:w="50" w:type="dxa"/>
              <w:bottom w:w="50" w:type="dxa"/>
              <w:left w:w="80" w:type="dxa"/>
              <w:right w:w="80" w:type="dxa"/>
            </w:tcMar>
          </w:tcPr>
          <w:p>
            <w:r>
              <w:rPr>
                <w:sz w:val="17"/>
              </w:rPr>
              <w:t>0.55</w:t>
            </w:r>
          </w:p>
        </w:tc>
      </w:tr>
      <w:tr>
        <w:tc>
          <w:tcPr>
            <w:tcW w:type="dxa" w:w="3120"/>
            <w:tcMar>
              <w:top w:w="50" w:type="dxa"/>
              <w:bottom w:w="50" w:type="dxa"/>
              <w:left w:w="80" w:type="dxa"/>
              <w:right w:w="80" w:type="dxa"/>
            </w:tcMar>
            <w:shd w:fill="F7FAFC"/>
          </w:tcPr>
          <w:p>
            <w:r>
              <w:rPr>
                <w:sz w:val="17"/>
              </w:rPr>
              <w:t>Convenience Store / Bakery</w:t>
            </w:r>
          </w:p>
        </w:tc>
        <w:tc>
          <w:tcPr>
            <w:tcW w:type="dxa" w:w="3120"/>
            <w:tcMar>
              <w:top w:w="50" w:type="dxa"/>
              <w:bottom w:w="50" w:type="dxa"/>
              <w:left w:w="80" w:type="dxa"/>
              <w:right w:w="80" w:type="dxa"/>
            </w:tcMar>
            <w:shd w:fill="F7FAFC"/>
          </w:tcPr>
          <w:p>
            <w:r>
              <w:rPr>
                <w:sz w:val="17"/>
              </w:rPr>
              <w:t>shop=convenience</w:t>
            </w:r>
          </w:p>
        </w:tc>
        <w:tc>
          <w:tcPr>
            <w:tcW w:type="dxa" w:w="3120"/>
            <w:tcMar>
              <w:top w:w="50" w:type="dxa"/>
              <w:bottom w:w="50" w:type="dxa"/>
              <w:left w:w="80" w:type="dxa"/>
              <w:right w:w="80" w:type="dxa"/>
            </w:tcMar>
            <w:shd w:fill="F7FAFC"/>
          </w:tcPr>
          <w:p>
            <w:r>
              <w:rPr>
                <w:sz w:val="17"/>
              </w:rPr>
              <w:t>0.50</w:t>
            </w:r>
          </w:p>
        </w:tc>
      </w:tr>
    </w:tbl>
    <w:p>
      <w:pPr>
        <w:spacing w:before="240" w:after="80"/>
      </w:pPr>
      <w:r>
        <w:rPr>
          <w:b/>
          <w:color w:val="2B6CB0"/>
          <w:sz w:val="22"/>
        </w:rPr>
        <w:t>E. Emergency SOS and Autonomous Red-Zone Escalation</w:t>
      </w:r>
    </w:p>
    <w:p>
      <w:pPr>
        <w:spacing w:after="120" w:line="276" w:lineRule="auto"/>
        <w:jc w:val="both"/>
      </w:pPr>
      <w:r>
        <w:rPr>
          <w:sz w:val="20"/>
        </w:rPr>
        <w:t>CrimeSense implements a dual-mode emergency dispatch pipeline uniting deliberate user intervention with autonomous fail-safe escalation. The manual distress trigger requires a continuous two-second press followed by a five-second audible cancel window. On trigger, an SOS event payload is created in the database and dispatched simultaneously to the user's registered emergency contacts (1 to 5 contacts) and the administrator live monitor via Twilio SMS or fallback local logging.</w:t>
      </w:r>
    </w:p>
    <w:p>
      <w:pPr>
        <w:spacing w:after="120" w:line="276" w:lineRule="auto"/>
        <w:jc w:val="both"/>
      </w:pPr>
      <w:r>
        <w:rPr>
          <w:sz w:val="20"/>
        </w:rPr>
        <w:t>To protect users who are rendered incapacitated or coerced into silence, CrimeSense deploys a background finite state machine tracking active location heartbeats: (1) State 0 (Safe); (2) State 1 (In Red Zone); (3) State 2 (Escalation Warning: if dwell time &gt;= 10 min, displacement &lt; 30 m, and no screen interaction, prompts 'Are you safe?' for 60 s); (4) State 3 (Auto-Alert Sent: dispatches emergency SMS with last-known coordinates); and (5) State 4 (Resolved / Cooldown).</w:t>
      </w:r>
    </w:p>
    <w:p>
      <w:pPr>
        <w:spacing w:before="240" w:after="80"/>
      </w:pPr>
      <w:r>
        <w:rPr>
          <w:b/>
          <w:color w:val="2B6CB0"/>
          <w:sz w:val="22"/>
        </w:rPr>
        <w:t>F. Pattern-Recurrence Analytics Framework</w:t>
      </w:r>
    </w:p>
    <w:p>
      <w:pPr>
        <w:spacing w:after="120" w:line="276" w:lineRule="auto"/>
        <w:jc w:val="both"/>
      </w:pPr>
      <w:r>
        <w:rPr>
          <w:sz w:val="20"/>
        </w:rPr>
        <w:t>To discover whether criminal incidents exhibit predictable temporal or spatial periodicity in Vellore, CrimeSense formulates three mathematical recurrence techniques:</w:t>
      </w:r>
    </w:p>
    <w:p>
      <w:pPr>
        <w:spacing w:after="120" w:line="276" w:lineRule="auto"/>
        <w:jc w:val="both"/>
      </w:pPr>
      <w:r>
        <w:rPr>
          <w:sz w:val="20"/>
        </w:rPr>
        <w:t>1. Knox Space-Time Interaction Permutation Test: Computes interaction statistic X:</w:t>
      </w:r>
    </w:p>
    <w:p>
      <w:pPr>
        <w:spacing w:before="80" w:after="120"/>
        <w:jc w:val="center"/>
      </w:pPr>
      <w:r>
        <w:rPr>
          <w:rFonts w:ascii="Cambria Math" w:hAnsi="Cambria Math"/>
          <w:b/>
          <w:color w:val="1A202C"/>
          <w:sz w:val="21"/>
        </w:rPr>
        <w:t xml:space="preserve">    X = Sum_{i &lt; j} [ 1(d_{ij} &lt;= Delta_s) * 1(|t_i - t_j| &lt;= Delta_t) ]        (8)</w:t>
      </w:r>
    </w:p>
    <w:p>
      <w:pPr>
        <w:spacing w:after="120" w:line="276" w:lineRule="auto"/>
        <w:jc w:val="both"/>
      </w:pPr>
      <w:r>
        <w:rPr>
          <w:sz w:val="20"/>
        </w:rPr>
        <w:t>evaluated over spatial windows Delta_s in {250 m, 500 m, 1000 m} and temporal windows Delta_t in {7, 14, 30} days across 999 date permutations.</w:t>
      </w:r>
    </w:p>
    <w:p>
      <w:pPr>
        <w:spacing w:after="120" w:line="276" w:lineRule="auto"/>
        <w:jc w:val="both"/>
      </w:pPr>
      <w:r>
        <w:rPr>
          <w:sz w:val="20"/>
        </w:rPr>
        <w:t>2. Sequential Association Rules: Scored by support, confidence, and lift:</w:t>
      </w:r>
    </w:p>
    <w:p>
      <w:pPr>
        <w:spacing w:before="80" w:after="120"/>
        <w:jc w:val="center"/>
      </w:pPr>
      <w:r>
        <w:rPr>
          <w:rFonts w:ascii="Cambria Math" w:hAnsi="Cambria Math"/>
          <w:b/>
          <w:color w:val="1A202C"/>
          <w:sz w:val="21"/>
        </w:rPr>
        <w:t xml:space="preserve">    Lift(A =&gt; B) = P(B | A) / P(B)        (9)</w:t>
      </w:r>
    </w:p>
    <w:p>
      <w:pPr>
        <w:spacing w:after="120" w:line="276" w:lineRule="auto"/>
        <w:jc w:val="both"/>
      </w:pPr>
      <w:r>
        <w:rPr>
          <w:sz w:val="20"/>
        </w:rPr>
        <w:t>retaining rules with Lift &gt; 1.2 that survive permutation checks.</w:t>
      </w:r>
    </w:p>
    <w:p>
      <w:pPr>
        <w:spacing w:after="120" w:line="276" w:lineRule="auto"/>
        <w:jc w:val="both"/>
      </w:pPr>
      <w:r>
        <w:rPr>
          <w:sz w:val="20"/>
        </w:rPr>
        <w:t>3. Locality Recurrence Index: The proportion of offenses in locality L of type T that repeat within time Delta_t:</w:t>
      </w:r>
    </w:p>
    <w:p>
      <w:pPr>
        <w:spacing w:before="80" w:after="120"/>
        <w:jc w:val="center"/>
      </w:pPr>
      <w:r>
        <w:rPr>
          <w:rFonts w:ascii="Cambria Math" w:hAnsi="Cambria Math"/>
          <w:b/>
          <w:color w:val="1A202C"/>
          <w:sz w:val="21"/>
        </w:rPr>
        <w:t xml:space="preserve">    RI(L, T) = |{i in I(L, T) : exists j, 0 &lt; t_i - t_j &lt;= Delta_t}| / |I(L, T)|        (10)</w:t>
      </w:r>
    </w:p>
    <w:p>
      <w:pPr>
        <w:spacing w:before="320" w:after="120"/>
      </w:pPr>
      <w:r>
        <w:rPr>
          <w:b/>
          <w:color w:val="1A365D"/>
          <w:sz w:val="26"/>
        </w:rPr>
        <w:t>IV. IMPLEMENTATION STATUS AND VERIFICATION</w:t>
      </w:r>
    </w:p>
    <w:p>
      <w:pPr>
        <w:spacing w:after="120" w:line="276" w:lineRule="auto"/>
        <w:jc w:val="both"/>
      </w:pPr>
      <w:r>
        <w:rPr>
          <w:sz w:val="20"/>
        </w:rPr>
        <w:t>CrimeSense has been implemented as a fully functional full-stack codebase. To uphold empirical rigor, Table V transparently delineates verified, functional components from designed architectural modules undergoing extended validation.</w:t>
      </w:r>
    </w:p>
    <w:p>
      <w:pPr>
        <w:spacing w:before="160" w:after="80"/>
      </w:pPr>
      <w:r>
        <w:rPr>
          <w:b/>
        </w:rPr>
        <w:t>TABLE V. SYSTEM COMPONENT IMPLEMENTATION AND VERIFICATION STATUS</w:t>
      </w:r>
    </w:p>
    <w:tbl>
      <w:tblPr>
        <w:tblW w:type="auto" w:w="0"/>
        <w:tblLook w:firstColumn="1" w:firstRow="1" w:lastColumn="0" w:lastRow="0" w:noHBand="0" w:noVBand="1" w:val="04A0"/>
        <w:tblBorders>
          <w:top w:val="single" w:sz="6" w:space="0" w:color="CCCCCC"/>
          <w:bottom w:val="single" w:sz="8" w:space="0" w:color="1F497D"/>
          <w:insideH w:val="single" w:sz="4" w:space="0" w:color="E0E0E0"/>
          <w:insideV w:val="none"/>
          <w:left w:val="none"/>
          <w:right w:val="none"/>
        </w:tblBorders>
      </w:tblPr>
      <w:tblGrid>
        <w:gridCol w:w="3120"/>
        <w:gridCol w:w="3120"/>
        <w:gridCol w:w="3120"/>
      </w:tblGrid>
      <w:tr>
        <w:tc>
          <w:tcPr>
            <w:tcW w:type="dxa" w:w="3120"/>
            <w:shd w:fill="1F497D"/>
          </w:tcPr>
          <w:p>
            <w:pPr>
              <w:jc w:val="center"/>
            </w:pPr>
            <w:r>
              <w:rPr>
                <w:rFonts w:ascii="Calibri" w:hAnsi="Calibri"/>
                <w:b/>
                <w:color w:val="FFFFFF"/>
                <w:sz w:val="19"/>
              </w:rPr>
              <w:t>Subsystem Component</w:t>
            </w:r>
          </w:p>
        </w:tc>
        <w:tc>
          <w:tcPr>
            <w:tcW w:type="dxa" w:w="3120"/>
            <w:shd w:fill="1F497D"/>
          </w:tcPr>
          <w:p>
            <w:pPr>
              <w:jc w:val="center"/>
            </w:pPr>
            <w:r>
              <w:rPr>
                <w:rFonts w:ascii="Calibri" w:hAnsi="Calibri"/>
                <w:b/>
                <w:color w:val="FFFFFF"/>
                <w:sz w:val="19"/>
              </w:rPr>
              <w:t>Status</w:t>
            </w:r>
          </w:p>
        </w:tc>
        <w:tc>
          <w:tcPr>
            <w:tcW w:type="dxa" w:w="3120"/>
            <w:shd w:fill="1F497D"/>
          </w:tcPr>
          <w:p>
            <w:pPr>
              <w:jc w:val="center"/>
            </w:pPr>
            <w:r>
              <w:rPr>
                <w:rFonts w:ascii="Calibri" w:hAnsi="Calibri"/>
                <w:b/>
                <w:color w:val="FFFFFF"/>
                <w:sz w:val="19"/>
              </w:rPr>
              <w:t>Verification Evidence</w:t>
            </w:r>
          </w:p>
        </w:tc>
      </w:tr>
      <w:tr>
        <w:tc>
          <w:tcPr>
            <w:tcW w:type="dxa" w:w="3120"/>
            <w:tcMar>
              <w:top w:w="50" w:type="dxa"/>
              <w:bottom w:w="50" w:type="dxa"/>
              <w:left w:w="80" w:type="dxa"/>
              <w:right w:w="80" w:type="dxa"/>
            </w:tcMar>
            <w:shd w:fill="F7FAFC"/>
          </w:tcPr>
          <w:p>
            <w:r>
              <w:rPr>
                <w:sz w:val="17"/>
              </w:rPr>
              <w:t>Authoritative Crime Database</w:t>
            </w:r>
          </w:p>
        </w:tc>
        <w:tc>
          <w:tcPr>
            <w:tcW w:type="dxa" w:w="3120"/>
            <w:tcMar>
              <w:top w:w="50" w:type="dxa"/>
              <w:bottom w:w="50" w:type="dxa"/>
              <w:left w:w="80" w:type="dxa"/>
              <w:right w:w="80" w:type="dxa"/>
            </w:tcMar>
            <w:shd w:fill="F7FAFC"/>
          </w:tcPr>
          <w:p>
            <w:r>
              <w:rPr>
                <w:sz w:val="17"/>
              </w:rPr>
              <w:t>Verified</w:t>
            </w:r>
          </w:p>
        </w:tc>
        <w:tc>
          <w:tcPr>
            <w:tcW w:type="dxa" w:w="3120"/>
            <w:tcMar>
              <w:top w:w="50" w:type="dxa"/>
              <w:bottom w:w="50" w:type="dxa"/>
              <w:left w:w="80" w:type="dxa"/>
              <w:right w:w="80" w:type="dxa"/>
            </w:tcMar>
            <w:shd w:fill="F7FAFC"/>
          </w:tcPr>
          <w:p>
            <w:r>
              <w:rPr>
                <w:sz w:val="17"/>
              </w:rPr>
              <w:t>596 sourced records in SQLite; single source of truth</w:t>
            </w:r>
          </w:p>
        </w:tc>
      </w:tr>
      <w:tr>
        <w:tc>
          <w:tcPr>
            <w:tcW w:type="dxa" w:w="3120"/>
            <w:tcMar>
              <w:top w:w="50" w:type="dxa"/>
              <w:bottom w:w="50" w:type="dxa"/>
              <w:left w:w="80" w:type="dxa"/>
              <w:right w:w="80" w:type="dxa"/>
            </w:tcMar>
          </w:tcPr>
          <w:p>
            <w:r>
              <w:rPr>
                <w:sz w:val="17"/>
              </w:rPr>
              <w:t>Data Quality Assurance</w:t>
            </w:r>
          </w:p>
        </w:tc>
        <w:tc>
          <w:tcPr>
            <w:tcW w:type="dxa" w:w="3120"/>
            <w:tcMar>
              <w:top w:w="50" w:type="dxa"/>
              <w:bottom w:w="50" w:type="dxa"/>
              <w:left w:w="80" w:type="dxa"/>
              <w:right w:w="80" w:type="dxa"/>
            </w:tcMar>
          </w:tcPr>
          <w:p>
            <w:r>
              <w:rPr>
                <w:sz w:val="17"/>
              </w:rPr>
              <w:t>Verified</w:t>
            </w:r>
          </w:p>
        </w:tc>
        <w:tc>
          <w:tcPr>
            <w:tcW w:type="dxa" w:w="3120"/>
            <w:tcMar>
              <w:top w:w="50" w:type="dxa"/>
              <w:bottom w:w="50" w:type="dxa"/>
              <w:left w:w="80" w:type="dxa"/>
              <w:right w:w="80" w:type="dxa"/>
            </w:tcMar>
          </w:tcPr>
          <w:p>
            <w:r>
              <w:rPr>
                <w:sz w:val="17"/>
              </w:rPr>
              <w:t>100% valid URLs, coordinates, dates; 0 duplicates</w:t>
            </w:r>
          </w:p>
        </w:tc>
      </w:tr>
      <w:tr>
        <w:tc>
          <w:tcPr>
            <w:tcW w:type="dxa" w:w="3120"/>
            <w:tcMar>
              <w:top w:w="50" w:type="dxa"/>
              <w:bottom w:w="50" w:type="dxa"/>
              <w:left w:w="80" w:type="dxa"/>
              <w:right w:w="80" w:type="dxa"/>
            </w:tcMar>
            <w:shd w:fill="F7FAFC"/>
          </w:tcPr>
          <w:p>
            <w:r>
              <w:rPr>
                <w:sz w:val="17"/>
              </w:rPr>
              <w:t>User Auth &amp; Session Mgmt</w:t>
            </w:r>
          </w:p>
        </w:tc>
        <w:tc>
          <w:tcPr>
            <w:tcW w:type="dxa" w:w="3120"/>
            <w:tcMar>
              <w:top w:w="50" w:type="dxa"/>
              <w:bottom w:w="50" w:type="dxa"/>
              <w:left w:w="80" w:type="dxa"/>
              <w:right w:w="80" w:type="dxa"/>
            </w:tcMar>
            <w:shd w:fill="F7FAFC"/>
          </w:tcPr>
          <w:p>
            <w:r>
              <w:rPr>
                <w:sz w:val="17"/>
              </w:rPr>
              <w:t>Verified</w:t>
            </w:r>
          </w:p>
        </w:tc>
        <w:tc>
          <w:tcPr>
            <w:tcW w:type="dxa" w:w="3120"/>
            <w:tcMar>
              <w:top w:w="50" w:type="dxa"/>
              <w:bottom w:w="50" w:type="dxa"/>
              <w:left w:w="80" w:type="dxa"/>
              <w:right w:w="80" w:type="dxa"/>
            </w:tcMar>
            <w:shd w:fill="F7FAFC"/>
          </w:tcPr>
          <w:p>
            <w:r>
              <w:rPr>
                <w:sz w:val="17"/>
              </w:rPr>
              <w:t>Salted password hashes; JWT session verification</w:t>
            </w:r>
          </w:p>
        </w:tc>
      </w:tr>
      <w:tr>
        <w:tc>
          <w:tcPr>
            <w:tcW w:type="dxa" w:w="3120"/>
            <w:tcMar>
              <w:top w:w="50" w:type="dxa"/>
              <w:bottom w:w="50" w:type="dxa"/>
              <w:left w:w="80" w:type="dxa"/>
              <w:right w:w="80" w:type="dxa"/>
            </w:tcMar>
          </w:tcPr>
          <w:p>
            <w:r>
              <w:rPr>
                <w:sz w:val="17"/>
              </w:rPr>
              <w:t>Google OAuth 2.0 Integration</w:t>
            </w:r>
          </w:p>
        </w:tc>
        <w:tc>
          <w:tcPr>
            <w:tcW w:type="dxa" w:w="3120"/>
            <w:tcMar>
              <w:top w:w="50" w:type="dxa"/>
              <w:bottom w:w="50" w:type="dxa"/>
              <w:left w:w="80" w:type="dxa"/>
              <w:right w:w="80" w:type="dxa"/>
            </w:tcMar>
          </w:tcPr>
          <w:p>
            <w:r>
              <w:rPr>
                <w:sz w:val="17"/>
              </w:rPr>
              <w:t>Verified</w:t>
            </w:r>
          </w:p>
        </w:tc>
        <w:tc>
          <w:tcPr>
            <w:tcW w:type="dxa" w:w="3120"/>
            <w:tcMar>
              <w:top w:w="50" w:type="dxa"/>
              <w:bottom w:w="50" w:type="dxa"/>
              <w:left w:w="80" w:type="dxa"/>
              <w:right w:w="80" w:type="dxa"/>
            </w:tcMar>
          </w:tcPr>
          <w:p>
            <w:r>
              <w:rPr>
                <w:sz w:val="17"/>
              </w:rPr>
              <w:t>Server token validation; auto-linking; 403 deactivation</w:t>
            </w:r>
          </w:p>
        </w:tc>
      </w:tr>
      <w:tr>
        <w:tc>
          <w:tcPr>
            <w:tcW w:type="dxa" w:w="3120"/>
            <w:tcMar>
              <w:top w:w="50" w:type="dxa"/>
              <w:bottom w:w="50" w:type="dxa"/>
              <w:left w:w="80" w:type="dxa"/>
              <w:right w:w="80" w:type="dxa"/>
            </w:tcMar>
            <w:shd w:fill="F7FAFC"/>
          </w:tcPr>
          <w:p>
            <w:r>
              <w:rPr>
                <w:sz w:val="17"/>
              </w:rPr>
              <w:t>Admin Dashboard &amp; KPIs</w:t>
            </w:r>
          </w:p>
        </w:tc>
        <w:tc>
          <w:tcPr>
            <w:tcW w:type="dxa" w:w="3120"/>
            <w:tcMar>
              <w:top w:w="50" w:type="dxa"/>
              <w:bottom w:w="50" w:type="dxa"/>
              <w:left w:w="80" w:type="dxa"/>
              <w:right w:w="80" w:type="dxa"/>
            </w:tcMar>
            <w:shd w:fill="F7FAFC"/>
          </w:tcPr>
          <w:p>
            <w:r>
              <w:rPr>
                <w:sz w:val="17"/>
              </w:rPr>
              <w:t>Verified</w:t>
            </w:r>
          </w:p>
        </w:tc>
        <w:tc>
          <w:tcPr>
            <w:tcW w:type="dxa" w:w="3120"/>
            <w:tcMar>
              <w:top w:w="50" w:type="dxa"/>
              <w:bottom w:w="50" w:type="dxa"/>
              <w:left w:w="80" w:type="dxa"/>
              <w:right w:w="80" w:type="dxa"/>
            </w:tcMar>
            <w:shd w:fill="F7FAFC"/>
          </w:tcPr>
          <w:p>
            <w:r>
              <w:rPr>
                <w:sz w:val="17"/>
              </w:rPr>
              <w:t>Live SQL queries for KPIs, charts, and table pagination</w:t>
            </w:r>
          </w:p>
        </w:tc>
      </w:tr>
      <w:tr>
        <w:tc>
          <w:tcPr>
            <w:tcW w:type="dxa" w:w="3120"/>
            <w:tcMar>
              <w:top w:w="50" w:type="dxa"/>
              <w:bottom w:w="50" w:type="dxa"/>
              <w:left w:w="80" w:type="dxa"/>
              <w:right w:w="80" w:type="dxa"/>
            </w:tcMar>
          </w:tcPr>
          <w:p>
            <w:r>
              <w:rPr>
                <w:sz w:val="17"/>
              </w:rPr>
              <w:t>Consent-Gated Live Map</w:t>
            </w:r>
          </w:p>
        </w:tc>
        <w:tc>
          <w:tcPr>
            <w:tcW w:type="dxa" w:w="3120"/>
            <w:tcMar>
              <w:top w:w="50" w:type="dxa"/>
              <w:bottom w:w="50" w:type="dxa"/>
              <w:left w:w="80" w:type="dxa"/>
              <w:right w:w="80" w:type="dxa"/>
            </w:tcMar>
          </w:tcPr>
          <w:p>
            <w:r>
              <w:rPr>
                <w:sz w:val="17"/>
              </w:rPr>
              <w:t>Verified</w:t>
            </w:r>
          </w:p>
        </w:tc>
        <w:tc>
          <w:tcPr>
            <w:tcW w:type="dxa" w:w="3120"/>
            <w:tcMar>
              <w:top w:w="50" w:type="dxa"/>
              <w:bottom w:w="50" w:type="dxa"/>
              <w:left w:w="80" w:type="dxa"/>
              <w:right w:w="80" w:type="dxa"/>
            </w:tcMar>
          </w:tcPr>
          <w:p>
            <w:r>
              <w:rPr>
                <w:sz w:val="17"/>
              </w:rPr>
              <w:t>Location tracking gated by user consent flag; audit logged</w:t>
            </w:r>
          </w:p>
        </w:tc>
      </w:tr>
      <w:tr>
        <w:tc>
          <w:tcPr>
            <w:tcW w:type="dxa" w:w="3120"/>
            <w:tcMar>
              <w:top w:w="50" w:type="dxa"/>
              <w:bottom w:w="50" w:type="dxa"/>
              <w:left w:w="80" w:type="dxa"/>
              <w:right w:w="80" w:type="dxa"/>
            </w:tcMar>
            <w:shd w:fill="F7FAFC"/>
          </w:tcPr>
          <w:p>
            <w:r>
              <w:rPr>
                <w:sz w:val="17"/>
              </w:rPr>
              <w:t>User Entity Persistence</w:t>
            </w:r>
          </w:p>
        </w:tc>
        <w:tc>
          <w:tcPr>
            <w:tcW w:type="dxa" w:w="3120"/>
            <w:tcMar>
              <w:top w:w="50" w:type="dxa"/>
              <w:bottom w:w="50" w:type="dxa"/>
              <w:left w:w="80" w:type="dxa"/>
              <w:right w:w="80" w:type="dxa"/>
            </w:tcMar>
            <w:shd w:fill="F7FAFC"/>
          </w:tcPr>
          <w:p>
            <w:r>
              <w:rPr>
                <w:sz w:val="17"/>
              </w:rPr>
              <w:t>Verified</w:t>
            </w:r>
          </w:p>
        </w:tc>
        <w:tc>
          <w:tcPr>
            <w:tcW w:type="dxa" w:w="3120"/>
            <w:tcMar>
              <w:top w:w="50" w:type="dxa"/>
              <w:bottom w:w="50" w:type="dxa"/>
              <w:left w:w="80" w:type="dxa"/>
              <w:right w:w="80" w:type="dxa"/>
            </w:tcMar>
            <w:shd w:fill="F7FAFC"/>
          </w:tcPr>
          <w:p>
            <w:r>
              <w:rPr>
                <w:sz w:val="17"/>
              </w:rPr>
              <w:t>SQLite persistence of SOS contacts, saved places, settings</w:t>
            </w:r>
          </w:p>
        </w:tc>
      </w:tr>
      <w:tr>
        <w:tc>
          <w:tcPr>
            <w:tcW w:type="dxa" w:w="3120"/>
            <w:tcMar>
              <w:top w:w="50" w:type="dxa"/>
              <w:bottom w:w="50" w:type="dxa"/>
              <w:left w:w="80" w:type="dxa"/>
              <w:right w:w="80" w:type="dxa"/>
            </w:tcMar>
          </w:tcPr>
          <w:p>
            <w:r>
              <w:rPr>
                <w:sz w:val="17"/>
              </w:rPr>
              <w:t>Two-Tier Role Separation</w:t>
            </w:r>
          </w:p>
        </w:tc>
        <w:tc>
          <w:tcPr>
            <w:tcW w:type="dxa" w:w="3120"/>
            <w:tcMar>
              <w:top w:w="50" w:type="dxa"/>
              <w:bottom w:w="50" w:type="dxa"/>
              <w:left w:w="80" w:type="dxa"/>
              <w:right w:w="80" w:type="dxa"/>
            </w:tcMar>
          </w:tcPr>
          <w:p>
            <w:r>
              <w:rPr>
                <w:sz w:val="17"/>
              </w:rPr>
              <w:t>Verified</w:t>
            </w:r>
          </w:p>
        </w:tc>
        <w:tc>
          <w:tcPr>
            <w:tcW w:type="dxa" w:w="3120"/>
            <w:tcMar>
              <w:top w:w="50" w:type="dxa"/>
              <w:bottom w:w="50" w:type="dxa"/>
              <w:left w:w="80" w:type="dxa"/>
              <w:right w:w="80" w:type="dxa"/>
            </w:tcMar>
          </w:tcPr>
          <w:p>
            <w:r>
              <w:rPr>
                <w:sz w:val="17"/>
              </w:rPr>
              <w:t>Middleware enforces 403 on non-admin route invocation</w:t>
            </w:r>
          </w:p>
        </w:tc>
      </w:tr>
      <w:tr>
        <w:tc>
          <w:tcPr>
            <w:tcW w:type="dxa" w:w="3120"/>
            <w:tcMar>
              <w:top w:w="50" w:type="dxa"/>
              <w:bottom w:w="50" w:type="dxa"/>
              <w:left w:w="80" w:type="dxa"/>
              <w:right w:w="80" w:type="dxa"/>
            </w:tcMar>
            <w:shd w:fill="F7FAFC"/>
          </w:tcPr>
          <w:p>
            <w:r>
              <w:rPr>
                <w:sz w:val="17"/>
              </w:rPr>
              <w:t>Automated SOS Escalation</w:t>
            </w:r>
          </w:p>
        </w:tc>
        <w:tc>
          <w:tcPr>
            <w:tcW w:type="dxa" w:w="3120"/>
            <w:tcMar>
              <w:top w:w="50" w:type="dxa"/>
              <w:bottom w:w="50" w:type="dxa"/>
              <w:left w:w="80" w:type="dxa"/>
              <w:right w:w="80" w:type="dxa"/>
            </w:tcMar>
            <w:shd w:fill="F7FAFC"/>
          </w:tcPr>
          <w:p>
            <w:r>
              <w:rPr>
                <w:sz w:val="17"/>
              </w:rPr>
              <w:t>Partial</w:t>
            </w:r>
          </w:p>
        </w:tc>
        <w:tc>
          <w:tcPr>
            <w:tcW w:type="dxa" w:w="3120"/>
            <w:tcMar>
              <w:top w:w="50" w:type="dxa"/>
              <w:bottom w:w="50" w:type="dxa"/>
              <w:left w:w="80" w:type="dxa"/>
              <w:right w:w="80" w:type="dxa"/>
            </w:tcMar>
            <w:shd w:fill="F7FAFC"/>
          </w:tcPr>
          <w:p>
            <w:r>
              <w:rPr>
                <w:sz w:val="17"/>
              </w:rPr>
              <w:t>Database state machine verified; field hardware trial pending</w:t>
            </w:r>
          </w:p>
        </w:tc>
      </w:tr>
      <w:tr>
        <w:tc>
          <w:tcPr>
            <w:tcW w:type="dxa" w:w="3120"/>
            <w:tcMar>
              <w:top w:w="50" w:type="dxa"/>
              <w:bottom w:w="50" w:type="dxa"/>
              <w:left w:w="80" w:type="dxa"/>
              <w:right w:w="80" w:type="dxa"/>
            </w:tcMar>
          </w:tcPr>
          <w:p>
            <w:r>
              <w:rPr>
                <w:sz w:val="17"/>
              </w:rPr>
              <w:t>Zone Model Calibration</w:t>
            </w:r>
          </w:p>
        </w:tc>
        <w:tc>
          <w:tcPr>
            <w:tcW w:type="dxa" w:w="3120"/>
            <w:tcMar>
              <w:top w:w="50" w:type="dxa"/>
              <w:bottom w:w="50" w:type="dxa"/>
              <w:left w:w="80" w:type="dxa"/>
              <w:right w:w="80" w:type="dxa"/>
            </w:tcMar>
          </w:tcPr>
          <w:p>
            <w:r>
              <w:rPr>
                <w:sz w:val="17"/>
              </w:rPr>
              <w:t>Designed</w:t>
            </w:r>
          </w:p>
        </w:tc>
        <w:tc>
          <w:tcPr>
            <w:tcW w:type="dxa" w:w="3120"/>
            <w:tcMar>
              <w:top w:w="50" w:type="dxa"/>
              <w:bottom w:w="50" w:type="dxa"/>
              <w:left w:w="80" w:type="dxa"/>
              <w:right w:w="80" w:type="dxa"/>
            </w:tcMar>
          </w:tcPr>
          <w:p>
            <w:r>
              <w:rPr>
                <w:sz w:val="17"/>
              </w:rPr>
              <w:t>Parameter equations formulated; tuning protocol specified</w:t>
            </w:r>
          </w:p>
        </w:tc>
      </w:tr>
      <w:tr>
        <w:tc>
          <w:tcPr>
            <w:tcW w:type="dxa" w:w="3120"/>
            <w:tcMar>
              <w:top w:w="50" w:type="dxa"/>
              <w:bottom w:w="50" w:type="dxa"/>
              <w:left w:w="80" w:type="dxa"/>
              <w:right w:w="80" w:type="dxa"/>
            </w:tcMar>
            <w:shd w:fill="F7FAFC"/>
          </w:tcPr>
          <w:p>
            <w:r>
              <w:rPr>
                <w:sz w:val="17"/>
              </w:rPr>
              <w:t>Safe-Haven Finder</w:t>
            </w:r>
          </w:p>
        </w:tc>
        <w:tc>
          <w:tcPr>
            <w:tcW w:type="dxa" w:w="3120"/>
            <w:tcMar>
              <w:top w:w="50" w:type="dxa"/>
              <w:bottom w:w="50" w:type="dxa"/>
              <w:left w:w="80" w:type="dxa"/>
              <w:right w:w="80" w:type="dxa"/>
            </w:tcMar>
            <w:shd w:fill="F7FAFC"/>
          </w:tcPr>
          <w:p>
            <w:r>
              <w:rPr>
                <w:sz w:val="17"/>
              </w:rPr>
              <w:t>Designed</w:t>
            </w:r>
          </w:p>
        </w:tc>
        <w:tc>
          <w:tcPr>
            <w:tcW w:type="dxa" w:w="3120"/>
            <w:tcMar>
              <w:top w:w="50" w:type="dxa"/>
              <w:bottom w:w="50" w:type="dxa"/>
              <w:left w:w="80" w:type="dxa"/>
              <w:right w:w="80" w:type="dxa"/>
            </w:tcMar>
            <w:shd w:fill="F7FAFC"/>
          </w:tcPr>
          <w:p>
            <w:r>
              <w:rPr>
                <w:sz w:val="17"/>
              </w:rPr>
              <w:t>Scoring algorithm defined; OSM API integration formulated</w:t>
            </w:r>
          </w:p>
        </w:tc>
      </w:tr>
      <w:tr>
        <w:tc>
          <w:tcPr>
            <w:tcW w:type="dxa" w:w="3120"/>
            <w:tcMar>
              <w:top w:w="50" w:type="dxa"/>
              <w:bottom w:w="50" w:type="dxa"/>
              <w:left w:w="80" w:type="dxa"/>
              <w:right w:w="80" w:type="dxa"/>
            </w:tcMar>
          </w:tcPr>
          <w:p>
            <w:r>
              <w:rPr>
                <w:sz w:val="17"/>
              </w:rPr>
              <w:t>Pattern-Recurrence Engine</w:t>
            </w:r>
          </w:p>
        </w:tc>
        <w:tc>
          <w:tcPr>
            <w:tcW w:type="dxa" w:w="3120"/>
            <w:tcMar>
              <w:top w:w="50" w:type="dxa"/>
              <w:bottom w:w="50" w:type="dxa"/>
              <w:left w:w="80" w:type="dxa"/>
              <w:right w:w="80" w:type="dxa"/>
            </w:tcMar>
          </w:tcPr>
          <w:p>
            <w:r>
              <w:rPr>
                <w:sz w:val="17"/>
              </w:rPr>
              <w:t>Designed</w:t>
            </w:r>
          </w:p>
        </w:tc>
        <w:tc>
          <w:tcPr>
            <w:tcW w:type="dxa" w:w="3120"/>
            <w:tcMar>
              <w:top w:w="50" w:type="dxa"/>
              <w:bottom w:w="50" w:type="dxa"/>
              <w:left w:w="80" w:type="dxa"/>
              <w:right w:w="80" w:type="dxa"/>
            </w:tcMar>
          </w:tcPr>
          <w:p>
            <w:r>
              <w:rPr>
                <w:sz w:val="17"/>
              </w:rPr>
              <w:t>Knox and association formulas defined; protocol prepared</w:t>
            </w:r>
          </w:p>
        </w:tc>
      </w:tr>
    </w:tbl>
    <w:p>
      <w:pPr>
        <w:spacing w:after="120" w:line="276" w:lineRule="auto"/>
        <w:jc w:val="both"/>
      </w:pPr>
      <w:r>
        <w:rPr>
          <w:sz w:val="20"/>
        </w:rPr>
        <w:t>All application data is consolidated within a single SQLite store (crimesense.db). Automated verification scripts verified the integrity of all 11 relational tables: crimes (596 rows), users (admin + dynamic users), user_settings, audit_logs (6 rows), and child relational tables. Direct queries against GET /api/health confirmed 100% database connectivity: {'crimes_count': 596, 'db_connected': True, 'status': 'healthy', 'users_count': 1}.</w:t>
      </w:r>
    </w:p>
    <w:p>
      <w:pPr>
        <w:spacing w:before="320" w:after="120"/>
      </w:pPr>
      <w:r>
        <w:rPr>
          <w:b/>
          <w:color w:val="1A365D"/>
          <w:sz w:val="26"/>
        </w:rPr>
        <w:t>V. DATASET ANALYSIS AND EMPIRICAL FINDINGS</w:t>
      </w:r>
    </w:p>
    <w:p>
      <w:pPr>
        <w:spacing w:after="120" w:line="276" w:lineRule="auto"/>
        <w:jc w:val="both"/>
      </w:pPr>
      <w:r>
        <w:rPr>
          <w:sz w:val="20"/>
        </w:rPr>
        <w:t>The historical crime dataset was compiled through targeted ingestion from prominent regional digital news outlets covering Vellore and northern Tamil Nadu (The Hindu, Times of India, DT Next, New Indian Express, Deccan Herald) across an observation span from July 2011 to October 2026. A quality audit confirmed zero synthetic, placeholder, or unverified records (Table VI).</w:t>
      </w:r>
    </w:p>
    <w:p>
      <w:pPr>
        <w:spacing w:before="160" w:after="80"/>
      </w:pPr>
      <w:r>
        <w:rPr>
          <w:b/>
        </w:rPr>
        <w:t>TABLE VI. COMPREHENSIVE QUALITY AUDIT OF CRIMESENSE DATASET (N = 596)</w:t>
      </w:r>
    </w:p>
    <w:tbl>
      <w:tblPr>
        <w:tblW w:type="auto" w:w="0"/>
        <w:tblLook w:firstColumn="1" w:firstRow="1" w:lastColumn="0" w:lastRow="0" w:noHBand="0" w:noVBand="1" w:val="04A0"/>
        <w:tblBorders>
          <w:top w:val="single" w:sz="6" w:space="0" w:color="CCCCCC"/>
          <w:bottom w:val="single" w:sz="8" w:space="0" w:color="1F497D"/>
          <w:insideH w:val="single" w:sz="4" w:space="0" w:color="E0E0E0"/>
          <w:insideV w:val="none"/>
          <w:left w:val="none"/>
          <w:right w:val="none"/>
        </w:tblBorders>
      </w:tblPr>
      <w:tblGrid>
        <w:gridCol w:w="3120"/>
        <w:gridCol w:w="3120"/>
        <w:gridCol w:w="3120"/>
      </w:tblGrid>
      <w:tr>
        <w:tc>
          <w:tcPr>
            <w:tcW w:type="dxa" w:w="3120"/>
            <w:shd w:fill="1F497D"/>
          </w:tcPr>
          <w:p>
            <w:pPr>
              <w:jc w:val="center"/>
            </w:pPr>
            <w:r>
              <w:rPr>
                <w:rFonts w:ascii="Calibri" w:hAnsi="Calibri"/>
                <w:b/>
                <w:color w:val="FFFFFF"/>
                <w:sz w:val="19"/>
              </w:rPr>
              <w:t>Validation Metric</w:t>
            </w:r>
          </w:p>
        </w:tc>
        <w:tc>
          <w:tcPr>
            <w:tcW w:type="dxa" w:w="3120"/>
            <w:shd w:fill="1F497D"/>
          </w:tcPr>
          <w:p>
            <w:pPr>
              <w:jc w:val="center"/>
            </w:pPr>
            <w:r>
              <w:rPr>
                <w:rFonts w:ascii="Calibri" w:hAnsi="Calibri"/>
                <w:b/>
                <w:color w:val="FFFFFF"/>
                <w:sz w:val="19"/>
              </w:rPr>
              <w:t>Observed Count</w:t>
            </w:r>
          </w:p>
        </w:tc>
        <w:tc>
          <w:tcPr>
            <w:tcW w:type="dxa" w:w="3120"/>
            <w:shd w:fill="1F497D"/>
          </w:tcPr>
          <w:p>
            <w:pPr>
              <w:jc w:val="center"/>
            </w:pPr>
            <w:r>
              <w:rPr>
                <w:rFonts w:ascii="Calibri" w:hAnsi="Calibri"/>
                <w:b/>
                <w:color w:val="FFFFFF"/>
                <w:sz w:val="19"/>
              </w:rPr>
              <w:t>Compliance Rate</w:t>
            </w:r>
          </w:p>
        </w:tc>
      </w:tr>
      <w:tr>
        <w:tc>
          <w:tcPr>
            <w:tcW w:type="dxa" w:w="3120"/>
            <w:tcMar>
              <w:top w:w="50" w:type="dxa"/>
              <w:bottom w:w="50" w:type="dxa"/>
              <w:left w:w="80" w:type="dxa"/>
              <w:right w:w="80" w:type="dxa"/>
            </w:tcMar>
            <w:shd w:fill="F7FAFC"/>
          </w:tcPr>
          <w:p>
            <w:r>
              <w:rPr>
                <w:sz w:val="17"/>
              </w:rPr>
              <w:t>Total Incident Records</w:t>
            </w:r>
          </w:p>
        </w:tc>
        <w:tc>
          <w:tcPr>
            <w:tcW w:type="dxa" w:w="3120"/>
            <w:tcMar>
              <w:top w:w="50" w:type="dxa"/>
              <w:bottom w:w="50" w:type="dxa"/>
              <w:left w:w="80" w:type="dxa"/>
              <w:right w:w="80" w:type="dxa"/>
            </w:tcMar>
            <w:shd w:fill="F7FAFC"/>
          </w:tcPr>
          <w:p>
            <w:r>
              <w:rPr>
                <w:sz w:val="17"/>
              </w:rPr>
              <w:t>596</w:t>
            </w:r>
          </w:p>
        </w:tc>
        <w:tc>
          <w:tcPr>
            <w:tcW w:type="dxa" w:w="3120"/>
            <w:tcMar>
              <w:top w:w="50" w:type="dxa"/>
              <w:bottom w:w="50" w:type="dxa"/>
              <w:left w:w="80" w:type="dxa"/>
              <w:right w:w="80" w:type="dxa"/>
            </w:tcMar>
            <w:shd w:fill="F7FAFC"/>
          </w:tcPr>
          <w:p>
            <w:r>
              <w:rPr>
                <w:sz w:val="17"/>
              </w:rPr>
              <w:t>100.00%</w:t>
            </w:r>
          </w:p>
        </w:tc>
      </w:tr>
      <w:tr>
        <w:tc>
          <w:tcPr>
            <w:tcW w:type="dxa" w:w="3120"/>
            <w:tcMar>
              <w:top w:w="50" w:type="dxa"/>
              <w:bottom w:w="50" w:type="dxa"/>
              <w:left w:w="80" w:type="dxa"/>
              <w:right w:w="80" w:type="dxa"/>
            </w:tcMar>
          </w:tcPr>
          <w:p>
            <w:r>
              <w:rPr>
                <w:sz w:val="17"/>
              </w:rPr>
              <w:t>Valid Journalistic Source URLs</w:t>
            </w:r>
          </w:p>
        </w:tc>
        <w:tc>
          <w:tcPr>
            <w:tcW w:type="dxa" w:w="3120"/>
            <w:tcMar>
              <w:top w:w="50" w:type="dxa"/>
              <w:bottom w:w="50" w:type="dxa"/>
              <w:left w:w="80" w:type="dxa"/>
              <w:right w:w="80" w:type="dxa"/>
            </w:tcMar>
          </w:tcPr>
          <w:p>
            <w:r>
              <w:rPr>
                <w:sz w:val="17"/>
              </w:rPr>
              <w:t>596 / 596</w:t>
            </w:r>
          </w:p>
        </w:tc>
        <w:tc>
          <w:tcPr>
            <w:tcW w:type="dxa" w:w="3120"/>
            <w:tcMar>
              <w:top w:w="50" w:type="dxa"/>
              <w:bottom w:w="50" w:type="dxa"/>
              <w:left w:w="80" w:type="dxa"/>
              <w:right w:w="80" w:type="dxa"/>
            </w:tcMar>
          </w:tcPr>
          <w:p>
            <w:r>
              <w:rPr>
                <w:sz w:val="17"/>
              </w:rPr>
              <w:t>100.00%</w:t>
            </w:r>
          </w:p>
        </w:tc>
      </w:tr>
      <w:tr>
        <w:tc>
          <w:tcPr>
            <w:tcW w:type="dxa" w:w="3120"/>
            <w:tcMar>
              <w:top w:w="50" w:type="dxa"/>
              <w:bottom w:w="50" w:type="dxa"/>
              <w:left w:w="80" w:type="dxa"/>
              <w:right w:w="80" w:type="dxa"/>
            </w:tcMar>
            <w:shd w:fill="F7FAFC"/>
          </w:tcPr>
          <w:p>
            <w:r>
              <w:rPr>
                <w:sz w:val="17"/>
              </w:rPr>
              <w:t>Valid Geocoded Coordinates</w:t>
            </w:r>
          </w:p>
        </w:tc>
        <w:tc>
          <w:tcPr>
            <w:tcW w:type="dxa" w:w="3120"/>
            <w:tcMar>
              <w:top w:w="50" w:type="dxa"/>
              <w:bottom w:w="50" w:type="dxa"/>
              <w:left w:w="80" w:type="dxa"/>
              <w:right w:w="80" w:type="dxa"/>
            </w:tcMar>
            <w:shd w:fill="F7FAFC"/>
          </w:tcPr>
          <w:p>
            <w:r>
              <w:rPr>
                <w:sz w:val="17"/>
              </w:rPr>
              <w:t>596 / 596</w:t>
            </w:r>
          </w:p>
        </w:tc>
        <w:tc>
          <w:tcPr>
            <w:tcW w:type="dxa" w:w="3120"/>
            <w:tcMar>
              <w:top w:w="50" w:type="dxa"/>
              <w:bottom w:w="50" w:type="dxa"/>
              <w:left w:w="80" w:type="dxa"/>
              <w:right w:w="80" w:type="dxa"/>
            </w:tcMar>
            <w:shd w:fill="F7FAFC"/>
          </w:tcPr>
          <w:p>
            <w:r>
              <w:rPr>
                <w:sz w:val="17"/>
              </w:rPr>
              <w:t>100.00%</w:t>
            </w:r>
          </w:p>
        </w:tc>
      </w:tr>
      <w:tr>
        <w:tc>
          <w:tcPr>
            <w:tcW w:type="dxa" w:w="3120"/>
            <w:tcMar>
              <w:top w:w="50" w:type="dxa"/>
              <w:bottom w:w="50" w:type="dxa"/>
              <w:left w:w="80" w:type="dxa"/>
              <w:right w:w="80" w:type="dxa"/>
            </w:tcMar>
          </w:tcPr>
          <w:p>
            <w:r>
              <w:rPr>
                <w:sz w:val="17"/>
              </w:rPr>
              <w:t>Latitude Bounding Box</w:t>
            </w:r>
          </w:p>
        </w:tc>
        <w:tc>
          <w:tcPr>
            <w:tcW w:type="dxa" w:w="3120"/>
            <w:tcMar>
              <w:top w:w="50" w:type="dxa"/>
              <w:bottom w:w="50" w:type="dxa"/>
              <w:left w:w="80" w:type="dxa"/>
              <w:right w:w="80" w:type="dxa"/>
            </w:tcMar>
          </w:tcPr>
          <w:p>
            <w:r>
              <w:rPr>
                <w:sz w:val="17"/>
              </w:rPr>
              <w:t>[9.92520, 13.08270] N</w:t>
            </w:r>
          </w:p>
        </w:tc>
        <w:tc>
          <w:tcPr>
            <w:tcW w:type="dxa" w:w="3120"/>
            <w:tcMar>
              <w:top w:w="50" w:type="dxa"/>
              <w:bottom w:w="50" w:type="dxa"/>
              <w:left w:w="80" w:type="dxa"/>
              <w:right w:w="80" w:type="dxa"/>
            </w:tcMar>
          </w:tcPr>
          <w:p>
            <w:r>
              <w:rPr>
                <w:sz w:val="17"/>
              </w:rPr>
              <w:t>Bounded</w:t>
            </w:r>
          </w:p>
        </w:tc>
      </w:tr>
      <w:tr>
        <w:tc>
          <w:tcPr>
            <w:tcW w:type="dxa" w:w="3120"/>
            <w:tcMar>
              <w:top w:w="50" w:type="dxa"/>
              <w:bottom w:w="50" w:type="dxa"/>
              <w:left w:w="80" w:type="dxa"/>
              <w:right w:w="80" w:type="dxa"/>
            </w:tcMar>
            <w:shd w:fill="F7FAFC"/>
          </w:tcPr>
          <w:p>
            <w:r>
              <w:rPr>
                <w:sz w:val="17"/>
              </w:rPr>
              <w:t>Longitude Bounding Box</w:t>
            </w:r>
          </w:p>
        </w:tc>
        <w:tc>
          <w:tcPr>
            <w:tcW w:type="dxa" w:w="3120"/>
            <w:tcMar>
              <w:top w:w="50" w:type="dxa"/>
              <w:bottom w:w="50" w:type="dxa"/>
              <w:left w:w="80" w:type="dxa"/>
              <w:right w:w="80" w:type="dxa"/>
            </w:tcMar>
            <w:shd w:fill="F7FAFC"/>
          </w:tcPr>
          <w:p>
            <w:r>
              <w:rPr>
                <w:sz w:val="17"/>
              </w:rPr>
              <w:t>[76.95580, 80.27070] E</w:t>
            </w:r>
          </w:p>
        </w:tc>
        <w:tc>
          <w:tcPr>
            <w:tcW w:type="dxa" w:w="3120"/>
            <w:tcMar>
              <w:top w:w="50" w:type="dxa"/>
              <w:bottom w:w="50" w:type="dxa"/>
              <w:left w:w="80" w:type="dxa"/>
              <w:right w:w="80" w:type="dxa"/>
            </w:tcMar>
            <w:shd w:fill="F7FAFC"/>
          </w:tcPr>
          <w:p>
            <w:r>
              <w:rPr>
                <w:sz w:val="17"/>
              </w:rPr>
              <w:t>Bounded</w:t>
            </w:r>
          </w:p>
        </w:tc>
      </w:tr>
      <w:tr>
        <w:tc>
          <w:tcPr>
            <w:tcW w:type="dxa" w:w="3120"/>
            <w:tcMar>
              <w:top w:w="50" w:type="dxa"/>
              <w:bottom w:w="50" w:type="dxa"/>
              <w:left w:w="80" w:type="dxa"/>
              <w:right w:w="80" w:type="dxa"/>
            </w:tcMar>
          </w:tcPr>
          <w:p>
            <w:r>
              <w:rPr>
                <w:sz w:val="17"/>
              </w:rPr>
              <w:t>Standardized ISO Dates (YYYY-MM-DD)</w:t>
            </w:r>
          </w:p>
        </w:tc>
        <w:tc>
          <w:tcPr>
            <w:tcW w:type="dxa" w:w="3120"/>
            <w:tcMar>
              <w:top w:w="50" w:type="dxa"/>
              <w:bottom w:w="50" w:type="dxa"/>
              <w:left w:w="80" w:type="dxa"/>
              <w:right w:w="80" w:type="dxa"/>
            </w:tcMar>
          </w:tcPr>
          <w:p>
            <w:r>
              <w:rPr>
                <w:sz w:val="17"/>
              </w:rPr>
              <w:t>596 / 596</w:t>
            </w:r>
          </w:p>
        </w:tc>
        <w:tc>
          <w:tcPr>
            <w:tcW w:type="dxa" w:w="3120"/>
            <w:tcMar>
              <w:top w:w="50" w:type="dxa"/>
              <w:bottom w:w="50" w:type="dxa"/>
              <w:left w:w="80" w:type="dxa"/>
              <w:right w:w="80" w:type="dxa"/>
            </w:tcMar>
          </w:tcPr>
          <w:p>
            <w:r>
              <w:rPr>
                <w:sz w:val="17"/>
              </w:rPr>
              <w:t>100.00%</w:t>
            </w:r>
          </w:p>
        </w:tc>
      </w:tr>
      <w:tr>
        <w:tc>
          <w:tcPr>
            <w:tcW w:type="dxa" w:w="3120"/>
            <w:tcMar>
              <w:top w:w="50" w:type="dxa"/>
              <w:bottom w:w="50" w:type="dxa"/>
              <w:left w:w="80" w:type="dxa"/>
              <w:right w:w="80" w:type="dxa"/>
            </w:tcMar>
            <w:shd w:fill="F7FAFC"/>
          </w:tcPr>
          <w:p>
            <w:r>
              <w:rPr>
                <w:sz w:val="17"/>
              </w:rPr>
              <w:t>Duplicate Incident Records</w:t>
            </w:r>
          </w:p>
        </w:tc>
        <w:tc>
          <w:tcPr>
            <w:tcW w:type="dxa" w:w="3120"/>
            <w:tcMar>
              <w:top w:w="50" w:type="dxa"/>
              <w:bottom w:w="50" w:type="dxa"/>
              <w:left w:w="80" w:type="dxa"/>
              <w:right w:w="80" w:type="dxa"/>
            </w:tcMar>
            <w:shd w:fill="F7FAFC"/>
          </w:tcPr>
          <w:p>
            <w:r>
              <w:rPr>
                <w:sz w:val="17"/>
              </w:rPr>
              <w:t>0</w:t>
            </w:r>
          </w:p>
        </w:tc>
        <w:tc>
          <w:tcPr>
            <w:tcW w:type="dxa" w:w="3120"/>
            <w:tcMar>
              <w:top w:w="50" w:type="dxa"/>
              <w:bottom w:w="50" w:type="dxa"/>
              <w:left w:w="80" w:type="dxa"/>
              <w:right w:w="80" w:type="dxa"/>
            </w:tcMar>
            <w:shd w:fill="F7FAFC"/>
          </w:tcPr>
          <w:p>
            <w:r>
              <w:rPr>
                <w:sz w:val="17"/>
              </w:rPr>
              <w:t>0.00%</w:t>
            </w:r>
          </w:p>
        </w:tc>
      </w:tr>
      <w:tr>
        <w:tc>
          <w:tcPr>
            <w:tcW w:type="dxa" w:w="3120"/>
            <w:tcMar>
              <w:top w:w="50" w:type="dxa"/>
              <w:bottom w:w="50" w:type="dxa"/>
              <w:left w:w="80" w:type="dxa"/>
              <w:right w:w="80" w:type="dxa"/>
            </w:tcMar>
          </w:tcPr>
          <w:p>
            <w:r>
              <w:rPr>
                <w:sz w:val="17"/>
              </w:rPr>
              <w:t>Severity Score Spectrum</w:t>
            </w:r>
          </w:p>
        </w:tc>
        <w:tc>
          <w:tcPr>
            <w:tcW w:type="dxa" w:w="3120"/>
            <w:tcMar>
              <w:top w:w="50" w:type="dxa"/>
              <w:bottom w:w="50" w:type="dxa"/>
              <w:left w:w="80" w:type="dxa"/>
              <w:right w:w="80" w:type="dxa"/>
            </w:tcMar>
          </w:tcPr>
          <w:p>
            <w:r>
              <w:rPr>
                <w:sz w:val="17"/>
              </w:rPr>
              <w:t>2.0 - 10.0</w:t>
            </w:r>
          </w:p>
        </w:tc>
        <w:tc>
          <w:tcPr>
            <w:tcW w:type="dxa" w:w="3120"/>
            <w:tcMar>
              <w:top w:w="50" w:type="dxa"/>
              <w:bottom w:w="50" w:type="dxa"/>
              <w:left w:w="80" w:type="dxa"/>
              <w:right w:w="80" w:type="dxa"/>
            </w:tcMar>
          </w:tcPr>
          <w:p>
            <w:r>
              <w:rPr>
                <w:sz w:val="17"/>
              </w:rPr>
              <w:t>Mean: 5.92</w:t>
            </w:r>
          </w:p>
        </w:tc>
      </w:tr>
      <w:tr>
        <w:tc>
          <w:tcPr>
            <w:tcW w:type="dxa" w:w="3120"/>
            <w:tcMar>
              <w:top w:w="50" w:type="dxa"/>
              <w:bottom w:w="50" w:type="dxa"/>
              <w:left w:w="80" w:type="dxa"/>
              <w:right w:w="80" w:type="dxa"/>
            </w:tcMar>
            <w:shd w:fill="F7FAFC"/>
          </w:tcPr>
          <w:p>
            <w:r>
              <w:rPr>
                <w:sz w:val="17"/>
              </w:rPr>
              <w:t>High Risk Incidents (s_i &gt;= 7.0)</w:t>
            </w:r>
          </w:p>
        </w:tc>
        <w:tc>
          <w:tcPr>
            <w:tcW w:type="dxa" w:w="3120"/>
            <w:tcMar>
              <w:top w:w="50" w:type="dxa"/>
              <w:bottom w:w="50" w:type="dxa"/>
              <w:left w:w="80" w:type="dxa"/>
              <w:right w:w="80" w:type="dxa"/>
            </w:tcMar>
            <w:shd w:fill="F7FAFC"/>
          </w:tcPr>
          <w:p>
            <w:r>
              <w:rPr>
                <w:sz w:val="17"/>
              </w:rPr>
              <w:t>150</w:t>
            </w:r>
          </w:p>
        </w:tc>
        <w:tc>
          <w:tcPr>
            <w:tcW w:type="dxa" w:w="3120"/>
            <w:tcMar>
              <w:top w:w="50" w:type="dxa"/>
              <w:bottom w:w="50" w:type="dxa"/>
              <w:left w:w="80" w:type="dxa"/>
              <w:right w:w="80" w:type="dxa"/>
            </w:tcMar>
            <w:shd w:fill="F7FAFC"/>
          </w:tcPr>
          <w:p>
            <w:r>
              <w:rPr>
                <w:sz w:val="17"/>
              </w:rPr>
              <w:t>25.17%</w:t>
            </w:r>
          </w:p>
        </w:tc>
      </w:tr>
      <w:tr>
        <w:tc>
          <w:tcPr>
            <w:tcW w:type="dxa" w:w="3120"/>
            <w:tcMar>
              <w:top w:w="50" w:type="dxa"/>
              <w:bottom w:w="50" w:type="dxa"/>
              <w:left w:w="80" w:type="dxa"/>
              <w:right w:w="80" w:type="dxa"/>
            </w:tcMar>
          </w:tcPr>
          <w:p>
            <w:r>
              <w:rPr>
                <w:sz w:val="17"/>
              </w:rPr>
              <w:t>Medium Risk Incidents (4.0 &lt;= s_i &lt; 7.0)</w:t>
            </w:r>
          </w:p>
        </w:tc>
        <w:tc>
          <w:tcPr>
            <w:tcW w:type="dxa" w:w="3120"/>
            <w:tcMar>
              <w:top w:w="50" w:type="dxa"/>
              <w:bottom w:w="50" w:type="dxa"/>
              <w:left w:w="80" w:type="dxa"/>
              <w:right w:w="80" w:type="dxa"/>
            </w:tcMar>
          </w:tcPr>
          <w:p>
            <w:r>
              <w:rPr>
                <w:sz w:val="17"/>
              </w:rPr>
              <w:t>138</w:t>
            </w:r>
          </w:p>
        </w:tc>
        <w:tc>
          <w:tcPr>
            <w:tcW w:type="dxa" w:w="3120"/>
            <w:tcMar>
              <w:top w:w="50" w:type="dxa"/>
              <w:bottom w:w="50" w:type="dxa"/>
              <w:left w:w="80" w:type="dxa"/>
              <w:right w:w="80" w:type="dxa"/>
            </w:tcMar>
          </w:tcPr>
          <w:p>
            <w:r>
              <w:rPr>
                <w:sz w:val="17"/>
              </w:rPr>
              <w:t>23.15%</w:t>
            </w:r>
          </w:p>
        </w:tc>
      </w:tr>
    </w:tbl>
    <w:p>
      <w:pPr>
        <w:spacing w:after="120" w:line="276" w:lineRule="auto"/>
        <w:jc w:val="both"/>
      </w:pPr>
      <w:r>
        <w:rPr>
          <w:sz w:val="20"/>
        </w:rPr>
        <w:t>The distribution of offenses across categorized types comprises: General Crime / Public Offence (277, 46.5%), Murder &amp; Homicide (86, 14.4%), Illegal Contraband &amp; Mining (46, 7.7%), Cybercrime &amp; Fraud (28, 4.7%), Sexual Violence &amp; POCSO (26, 4.4%), Theft &amp; Burglary (22, 3.7%), Assault &amp; Violent Clash (21, 3.5%), Robbery &amp; Dacoity (18, 3.0%), and Fatal Traffic Incidents (72, 12.1%). Spatially, Vellore Central, Katpadi, Gudiyattam, Ambur, Ranipet, and Vaniyambadi account for the highest concentration of high-severity infractions, confirming the spatial concentration law in a developing Indian Tier-II district.</w:t>
      </w:r>
    </w:p>
    <w:p>
      <w:pPr>
        <w:spacing w:before="320" w:after="120"/>
      </w:pPr>
      <w:r>
        <w:rPr>
          <w:b/>
          <w:color w:val="1A365D"/>
          <w:sz w:val="26"/>
        </w:rPr>
        <w:t>VI. PROPOSED EVALUATION PROTOCOL</w:t>
      </w:r>
    </w:p>
    <w:p>
      <w:pPr>
        <w:spacing w:after="120" w:line="276" w:lineRule="auto"/>
        <w:jc w:val="both"/>
      </w:pPr>
      <w:r>
        <w:rPr>
          <w:sz w:val="20"/>
        </w:rPr>
        <w:t>To ensure complete experimental transparency, we establish an explicit evaluation protocol and metric specification for all prospective modules (Table VII). Predictive Accuracy Index (PAI) evaluates whether predicted Red Zones capture disproportionate crime: PAI = (n / N) / (a / A), where n represents test crimes falling into predicted high-risk zones of area a, out of total crimes N occurring across urban area A.</w:t>
      </w:r>
    </w:p>
    <w:p>
      <w:pPr>
        <w:spacing w:before="160" w:after="80"/>
      </w:pPr>
      <w:r>
        <w:rPr>
          <w:b/>
        </w:rPr>
        <w:t>TABLE VII. STANDARDIZED EMPIRICAL EVALUATION PROTOCOL AND TARGET OPERATING BENCHMARKS</w:t>
      </w:r>
    </w:p>
    <w:tbl>
      <w:tblPr>
        <w:tblW w:type="auto" w:w="0"/>
        <w:tblLook w:firstColumn="1" w:firstRow="1" w:lastColumn="0" w:lastRow="0" w:noHBand="0" w:noVBand="1" w:val="04A0"/>
        <w:tblBorders>
          <w:top w:val="single" w:sz="6" w:space="0" w:color="CCCCCC"/>
          <w:bottom w:val="single" w:sz="8" w:space="0" w:color="1F497D"/>
          <w:insideH w:val="single" w:sz="4" w:space="0" w:color="E0E0E0"/>
          <w:insideV w:val="none"/>
          <w:left w:val="none"/>
          <w:right w:val="none"/>
        </w:tblBorders>
      </w:tblPr>
      <w:tblGrid>
        <w:gridCol w:w="2340"/>
        <w:gridCol w:w="2340"/>
        <w:gridCol w:w="2340"/>
        <w:gridCol w:w="2340"/>
      </w:tblGrid>
      <w:tr>
        <w:tc>
          <w:tcPr>
            <w:tcW w:type="dxa" w:w="2340"/>
            <w:shd w:fill="1F497D"/>
          </w:tcPr>
          <w:p>
            <w:pPr>
              <w:jc w:val="center"/>
            </w:pPr>
            <w:r>
              <w:rPr>
                <w:rFonts w:ascii="Calibri" w:hAnsi="Calibri"/>
                <w:b/>
                <w:color w:val="FFFFFF"/>
                <w:sz w:val="19"/>
              </w:rPr>
              <w:t>Target Module</w:t>
            </w:r>
          </w:p>
        </w:tc>
        <w:tc>
          <w:tcPr>
            <w:tcW w:type="dxa" w:w="2340"/>
            <w:shd w:fill="1F497D"/>
          </w:tcPr>
          <w:p>
            <w:pPr>
              <w:jc w:val="center"/>
            </w:pPr>
            <w:r>
              <w:rPr>
                <w:rFonts w:ascii="Calibri" w:hAnsi="Calibri"/>
                <w:b/>
                <w:color w:val="FFFFFF"/>
                <w:sz w:val="19"/>
              </w:rPr>
              <w:t>Primary Evaluation Metric</w:t>
            </w:r>
          </w:p>
        </w:tc>
        <w:tc>
          <w:tcPr>
            <w:tcW w:type="dxa" w:w="2340"/>
            <w:shd w:fill="1F497D"/>
          </w:tcPr>
          <w:p>
            <w:pPr>
              <w:jc w:val="center"/>
            </w:pPr>
            <w:r>
              <w:rPr>
                <w:rFonts w:ascii="Calibri" w:hAnsi="Calibri"/>
                <w:b/>
                <w:color w:val="FFFFFF"/>
                <w:sz w:val="19"/>
              </w:rPr>
              <w:t>Experimental Protocol</w:t>
            </w:r>
          </w:p>
        </w:tc>
        <w:tc>
          <w:tcPr>
            <w:tcW w:type="dxa" w:w="2340"/>
            <w:shd w:fill="1F497D"/>
          </w:tcPr>
          <w:p>
            <w:pPr>
              <w:jc w:val="center"/>
            </w:pPr>
            <w:r>
              <w:rPr>
                <w:rFonts w:ascii="Calibri" w:hAnsi="Calibri"/>
                <w:b/>
                <w:color w:val="FFFFFF"/>
                <w:sz w:val="19"/>
              </w:rPr>
              <w:t>Target Operating Benchmark</w:t>
            </w:r>
          </w:p>
        </w:tc>
      </w:tr>
      <w:tr>
        <w:tc>
          <w:tcPr>
            <w:tcW w:type="dxa" w:w="2340"/>
            <w:tcMar>
              <w:top w:w="50" w:type="dxa"/>
              <w:bottom w:w="50" w:type="dxa"/>
              <w:left w:w="80" w:type="dxa"/>
              <w:right w:w="80" w:type="dxa"/>
            </w:tcMar>
            <w:shd w:fill="F7FAFC"/>
          </w:tcPr>
          <w:p>
            <w:r>
              <w:rPr>
                <w:sz w:val="17"/>
              </w:rPr>
              <w:t>Zone Classification</w:t>
            </w:r>
          </w:p>
        </w:tc>
        <w:tc>
          <w:tcPr>
            <w:tcW w:type="dxa" w:w="2340"/>
            <w:tcMar>
              <w:top w:w="50" w:type="dxa"/>
              <w:bottom w:w="50" w:type="dxa"/>
              <w:left w:w="80" w:type="dxa"/>
              <w:right w:w="80" w:type="dxa"/>
            </w:tcMar>
            <w:shd w:fill="F7FAFC"/>
          </w:tcPr>
          <w:p>
            <w:r>
              <w:rPr>
                <w:sz w:val="17"/>
              </w:rPr>
              <w:t>Hit Rate (n/N), PAI [5]</w:t>
            </w:r>
          </w:p>
        </w:tc>
        <w:tc>
          <w:tcPr>
            <w:tcW w:type="dxa" w:w="2340"/>
            <w:tcMar>
              <w:top w:w="50" w:type="dxa"/>
              <w:bottom w:w="50" w:type="dxa"/>
              <w:left w:w="80" w:type="dxa"/>
              <w:right w:w="80" w:type="dxa"/>
            </w:tcMar>
            <w:shd w:fill="F7FAFC"/>
          </w:tcPr>
          <w:p>
            <w:r>
              <w:rPr>
                <w:sz w:val="17"/>
              </w:rPr>
              <w:t>Rolling temporal split: prior to t_0 trains risk surface; 90 days test. 500 m grid.</w:t>
            </w:r>
          </w:p>
        </w:tc>
        <w:tc>
          <w:tcPr>
            <w:tcW w:type="dxa" w:w="2340"/>
            <w:tcMar>
              <w:top w:w="50" w:type="dxa"/>
              <w:bottom w:w="50" w:type="dxa"/>
              <w:left w:w="80" w:type="dxa"/>
              <w:right w:w="80" w:type="dxa"/>
            </w:tcMar>
            <w:shd w:fill="F7FAFC"/>
          </w:tcPr>
          <w:p>
            <w:r>
              <w:rPr>
                <w:sz w:val="17"/>
              </w:rPr>
              <w:t>PAI &gt;= 2.5 when Red Zone area constrained to a/A &lt;= 10%.</w:t>
            </w:r>
          </w:p>
        </w:tc>
      </w:tr>
      <w:tr>
        <w:tc>
          <w:tcPr>
            <w:tcW w:type="dxa" w:w="2340"/>
            <w:tcMar>
              <w:top w:w="50" w:type="dxa"/>
              <w:bottom w:w="50" w:type="dxa"/>
              <w:left w:w="80" w:type="dxa"/>
              <w:right w:w="80" w:type="dxa"/>
            </w:tcMar>
          </w:tcPr>
          <w:p>
            <w:r>
              <w:rPr>
                <w:sz w:val="17"/>
              </w:rPr>
              <w:t>DBSCAN Hotspots</w:t>
            </w:r>
          </w:p>
        </w:tc>
        <w:tc>
          <w:tcPr>
            <w:tcW w:type="dxa" w:w="2340"/>
            <w:tcMar>
              <w:top w:w="50" w:type="dxa"/>
              <w:bottom w:w="50" w:type="dxa"/>
              <w:left w:w="80" w:type="dxa"/>
              <w:right w:w="80" w:type="dxa"/>
            </w:tcMar>
          </w:tcPr>
          <w:p>
            <w:r>
              <w:rPr>
                <w:sz w:val="17"/>
              </w:rPr>
              <w:t>Cluster Stability Index</w:t>
            </w:r>
          </w:p>
        </w:tc>
        <w:tc>
          <w:tcPr>
            <w:tcW w:type="dxa" w:w="2340"/>
            <w:tcMar>
              <w:top w:w="50" w:type="dxa"/>
              <w:bottom w:w="50" w:type="dxa"/>
              <w:left w:w="80" w:type="dxa"/>
              <w:right w:w="80" w:type="dxa"/>
            </w:tcMar>
          </w:tcPr>
          <w:p>
            <w:r>
              <w:rPr>
                <w:sz w:val="17"/>
              </w:rPr>
              <w:t>Parameter sweep across epsilon in [200, 800] m and m in [3, 10] points.</w:t>
            </w:r>
          </w:p>
        </w:tc>
        <w:tc>
          <w:tcPr>
            <w:tcW w:type="dxa" w:w="2340"/>
            <w:tcMar>
              <w:top w:w="50" w:type="dxa"/>
              <w:bottom w:w="50" w:type="dxa"/>
              <w:left w:w="80" w:type="dxa"/>
              <w:right w:w="80" w:type="dxa"/>
            </w:tcMar>
          </w:tcPr>
          <w:p>
            <w:r>
              <w:rPr>
                <w:sz w:val="17"/>
              </w:rPr>
              <w:t>Consistent identification of &gt;= 5 stable high-density urban clusters.</w:t>
            </w:r>
          </w:p>
        </w:tc>
      </w:tr>
      <w:tr>
        <w:tc>
          <w:tcPr>
            <w:tcW w:type="dxa" w:w="2340"/>
            <w:tcMar>
              <w:top w:w="50" w:type="dxa"/>
              <w:bottom w:w="50" w:type="dxa"/>
              <w:left w:w="80" w:type="dxa"/>
              <w:right w:w="80" w:type="dxa"/>
            </w:tcMar>
            <w:shd w:fill="F7FAFC"/>
          </w:tcPr>
          <w:p>
            <w:r>
              <w:rPr>
                <w:sz w:val="17"/>
              </w:rPr>
              <w:t>Pattern Recurrence</w:t>
            </w:r>
          </w:p>
        </w:tc>
        <w:tc>
          <w:tcPr>
            <w:tcW w:type="dxa" w:w="2340"/>
            <w:tcMar>
              <w:top w:w="50" w:type="dxa"/>
              <w:bottom w:w="50" w:type="dxa"/>
              <w:left w:w="80" w:type="dxa"/>
              <w:right w:w="80" w:type="dxa"/>
            </w:tcMar>
            <w:shd w:fill="F7FAFC"/>
          </w:tcPr>
          <w:p>
            <w:r>
              <w:rPr>
                <w:sz w:val="17"/>
              </w:rPr>
              <w:t>Near-Repeat Ratio (NRR)</w:t>
            </w:r>
          </w:p>
        </w:tc>
        <w:tc>
          <w:tcPr>
            <w:tcW w:type="dxa" w:w="2340"/>
            <w:tcMar>
              <w:top w:w="50" w:type="dxa"/>
              <w:bottom w:w="50" w:type="dxa"/>
              <w:left w:w="80" w:type="dxa"/>
              <w:right w:w="80" w:type="dxa"/>
            </w:tcMar>
            <w:shd w:fill="F7FAFC"/>
          </w:tcPr>
          <w:p>
            <w:r>
              <w:rPr>
                <w:sz w:val="17"/>
              </w:rPr>
              <w:t>Knox matrix testing over Delta_s in [250, 1000] m and Delta_t in [7, 30] days (999 shuffles).</w:t>
            </w:r>
          </w:p>
        </w:tc>
        <w:tc>
          <w:tcPr>
            <w:tcW w:type="dxa" w:w="2340"/>
            <w:tcMar>
              <w:top w:w="50" w:type="dxa"/>
              <w:bottom w:w="50" w:type="dxa"/>
              <w:left w:w="80" w:type="dxa"/>
              <w:right w:w="80" w:type="dxa"/>
            </w:tcMar>
            <w:shd w:fill="F7FAFC"/>
          </w:tcPr>
          <w:p>
            <w:r>
              <w:rPr>
                <w:sz w:val="17"/>
              </w:rPr>
              <w:t>NRR &gt;= 1.35 with p &lt; 0.01 for interpersonal property crimes.</w:t>
            </w:r>
          </w:p>
        </w:tc>
      </w:tr>
      <w:tr>
        <w:tc>
          <w:tcPr>
            <w:tcW w:type="dxa" w:w="2340"/>
            <w:tcMar>
              <w:top w:w="50" w:type="dxa"/>
              <w:bottom w:w="50" w:type="dxa"/>
              <w:left w:w="80" w:type="dxa"/>
              <w:right w:w="80" w:type="dxa"/>
            </w:tcMar>
          </w:tcPr>
          <w:p>
            <w:r>
              <w:rPr>
                <w:sz w:val="17"/>
              </w:rPr>
              <w:t>Safe-Haven Finder</w:t>
            </w:r>
          </w:p>
        </w:tc>
        <w:tc>
          <w:tcPr>
            <w:tcW w:type="dxa" w:w="2340"/>
            <w:tcMar>
              <w:top w:w="50" w:type="dxa"/>
              <w:bottom w:w="50" w:type="dxa"/>
              <w:left w:w="80" w:type="dxa"/>
              <w:right w:w="80" w:type="dxa"/>
            </w:tcMar>
          </w:tcPr>
          <w:p>
            <w:r>
              <w:rPr>
                <w:sz w:val="17"/>
              </w:rPr>
              <w:t>Valid@5 Accuracy</w:t>
            </w:r>
          </w:p>
        </w:tc>
        <w:tc>
          <w:tcPr>
            <w:tcW w:type="dxa" w:w="2340"/>
            <w:tcMar>
              <w:top w:w="50" w:type="dxa"/>
              <w:bottom w:w="50" w:type="dxa"/>
              <w:left w:w="80" w:type="dxa"/>
              <w:right w:w="80" w:type="dxa"/>
            </w:tcMar>
          </w:tcPr>
          <w:p>
            <w:r>
              <w:rPr>
                <w:sz w:val="17"/>
              </w:rPr>
              <w:t>In-situ field audit of 50 sampled points across Vellore verifying physical haven status and hours.</w:t>
            </w:r>
          </w:p>
        </w:tc>
        <w:tc>
          <w:tcPr>
            <w:tcW w:type="dxa" w:w="2340"/>
            <w:tcMar>
              <w:top w:w="50" w:type="dxa"/>
              <w:bottom w:w="50" w:type="dxa"/>
              <w:left w:w="80" w:type="dxa"/>
              <w:right w:w="80" w:type="dxa"/>
            </w:tcMar>
          </w:tcPr>
          <w:p>
            <w:r>
              <w:rPr>
                <w:sz w:val="17"/>
              </w:rPr>
              <w:t>Valid@5 &gt;= 85%; median distance to open haven &lt; 650 m.</w:t>
            </w:r>
          </w:p>
        </w:tc>
      </w:tr>
      <w:tr>
        <w:tc>
          <w:tcPr>
            <w:tcW w:type="dxa" w:w="2340"/>
            <w:tcMar>
              <w:top w:w="50" w:type="dxa"/>
              <w:bottom w:w="50" w:type="dxa"/>
              <w:left w:w="80" w:type="dxa"/>
              <w:right w:w="80" w:type="dxa"/>
            </w:tcMar>
            <w:shd w:fill="F7FAFC"/>
          </w:tcPr>
          <w:p>
            <w:r>
              <w:rPr>
                <w:sz w:val="17"/>
              </w:rPr>
              <w:t>Automated SOS</w:t>
            </w:r>
          </w:p>
        </w:tc>
        <w:tc>
          <w:tcPr>
            <w:tcW w:type="dxa" w:w="2340"/>
            <w:tcMar>
              <w:top w:w="50" w:type="dxa"/>
              <w:bottom w:w="50" w:type="dxa"/>
              <w:left w:w="80" w:type="dxa"/>
              <w:right w:w="80" w:type="dxa"/>
            </w:tcMar>
            <w:shd w:fill="F7FAFC"/>
          </w:tcPr>
          <w:p>
            <w:r>
              <w:rPr>
                <w:sz w:val="17"/>
              </w:rPr>
              <w:t>Latency (p95); False Alarm Rate</w:t>
            </w:r>
          </w:p>
        </w:tc>
        <w:tc>
          <w:tcPr>
            <w:tcW w:type="dxa" w:w="2340"/>
            <w:tcMar>
              <w:top w:w="50" w:type="dxa"/>
              <w:bottom w:w="50" w:type="dxa"/>
              <w:left w:w="80" w:type="dxa"/>
              <w:right w:w="80" w:type="dxa"/>
            </w:tcMar>
            <w:shd w:fill="F7FAFC"/>
          </w:tcPr>
          <w:p>
            <w:r>
              <w:rPr>
                <w:sz w:val="17"/>
              </w:rPr>
              <w:t>Simulated GPS trajectory playback comparing stationary vs. dynamic routes in Red Zones.</w:t>
            </w:r>
          </w:p>
        </w:tc>
        <w:tc>
          <w:tcPr>
            <w:tcW w:type="dxa" w:w="2340"/>
            <w:tcMar>
              <w:top w:w="50" w:type="dxa"/>
              <w:bottom w:w="50" w:type="dxa"/>
              <w:left w:w="80" w:type="dxa"/>
              <w:right w:w="80" w:type="dxa"/>
            </w:tcMar>
            <w:shd w:fill="F7FAFC"/>
          </w:tcPr>
          <w:p>
            <w:r>
              <w:rPr>
                <w:sz w:val="17"/>
              </w:rPr>
              <w:t>Dispatch latency &lt; 4.5 s (p95); zero false alarms under continuous movement.</w:t>
            </w:r>
          </w:p>
        </w:tc>
      </w:tr>
      <w:tr>
        <w:tc>
          <w:tcPr>
            <w:tcW w:type="dxa" w:w="2340"/>
            <w:tcMar>
              <w:top w:w="50" w:type="dxa"/>
              <w:bottom w:w="50" w:type="dxa"/>
              <w:left w:w="80" w:type="dxa"/>
              <w:right w:w="80" w:type="dxa"/>
            </w:tcMar>
          </w:tcPr>
          <w:p>
            <w:r>
              <w:rPr>
                <w:sz w:val="17"/>
              </w:rPr>
              <w:t>Usability &amp; Trust</w:t>
            </w:r>
          </w:p>
        </w:tc>
        <w:tc>
          <w:tcPr>
            <w:tcW w:type="dxa" w:w="2340"/>
            <w:tcMar>
              <w:top w:w="50" w:type="dxa"/>
              <w:bottom w:w="50" w:type="dxa"/>
              <w:left w:w="80" w:type="dxa"/>
              <w:right w:w="80" w:type="dxa"/>
            </w:tcMar>
          </w:tcPr>
          <w:p>
            <w:r>
              <w:rPr>
                <w:sz w:val="17"/>
              </w:rPr>
              <w:t>System Usability Scale (SUS) [30]</w:t>
            </w:r>
          </w:p>
        </w:tc>
        <w:tc>
          <w:tcPr>
            <w:tcW w:type="dxa" w:w="2340"/>
            <w:tcMar>
              <w:top w:w="50" w:type="dxa"/>
              <w:bottom w:w="50" w:type="dxa"/>
              <w:left w:w="80" w:type="dxa"/>
              <w:right w:w="80" w:type="dxa"/>
            </w:tcMar>
          </w:tcPr>
          <w:p>
            <w:r>
              <w:rPr>
                <w:sz w:val="17"/>
              </w:rPr>
              <w:t>User study with N=30 university students and residents conducting search and haven tasks.</w:t>
            </w:r>
          </w:p>
        </w:tc>
        <w:tc>
          <w:tcPr>
            <w:tcW w:type="dxa" w:w="2340"/>
            <w:tcMar>
              <w:top w:w="50" w:type="dxa"/>
              <w:bottom w:w="50" w:type="dxa"/>
              <w:left w:w="80" w:type="dxa"/>
              <w:right w:w="80" w:type="dxa"/>
            </w:tcMar>
          </w:tcPr>
          <w:p>
            <w:r>
              <w:rPr>
                <w:sz w:val="17"/>
              </w:rPr>
              <w:t>Mean SUS &gt;= 78.0 (Grade A usability); qualitative trust rating &gt; 80%.</w:t>
            </w:r>
          </w:p>
        </w:tc>
      </w:tr>
    </w:tbl>
    <w:p>
      <w:pPr>
        <w:spacing w:before="320" w:after="120"/>
      </w:pPr>
      <w:r>
        <w:rPr>
          <w:b/>
          <w:color w:val="1A365D"/>
          <w:sz w:val="26"/>
        </w:rPr>
        <w:t>VII. DISCUSSION, ETHICS, AND THREATS TO VALIDITY</w:t>
      </w:r>
    </w:p>
    <w:p>
      <w:pPr>
        <w:spacing w:before="240" w:after="80"/>
      </w:pPr>
      <w:r>
        <w:rPr>
          <w:b/>
          <w:color w:val="2B6CB0"/>
          <w:sz w:val="22"/>
        </w:rPr>
        <w:t>A. Architectural Synthesis and Theoretical Contributions</w:t>
      </w:r>
    </w:p>
    <w:p>
      <w:pPr>
        <w:spacing w:after="120" w:line="276" w:lineRule="auto"/>
        <w:jc w:val="both"/>
      </w:pPr>
      <w:r>
        <w:rPr>
          <w:sz w:val="20"/>
        </w:rPr>
        <w:t>While individual components such as crime heatmaps, panic triggers, or Knox tests exist in isolated silos, CrimeSense demonstrates the efficacy of synthesizing these capabilities into a single integrated architecture. By driving administrator intelligence, resident navigation, safe-haven recovery, and automated emergency escalation from an identical authoritative data repository, the system eliminates fragmentation between institutional analysis and citizen survival.</w:t>
      </w:r>
    </w:p>
    <w:p>
      <w:pPr>
        <w:spacing w:before="240" w:after="80"/>
      </w:pPr>
      <w:r>
        <w:rPr>
          <w:b/>
          <w:color w:val="2B6CB0"/>
          <w:sz w:val="22"/>
        </w:rPr>
        <w:t>B. Ethical Governance and Algorithmic Bias Mitigation</w:t>
      </w:r>
    </w:p>
    <w:p>
      <w:pPr>
        <w:spacing w:after="120" w:line="276" w:lineRule="auto"/>
        <w:jc w:val="both"/>
      </w:pPr>
      <w:r>
        <w:rPr>
          <w:sz w:val="20"/>
        </w:rPr>
        <w:t>Spatial risk systems risk creating self-fulfilling negative externalities: designating an underprivileged neighborhood as 'high crime' can cause commercial disinvestment, social stigmatization, and disproportionate police surveillance [31], [32]. CrimeSense addresses these harms through deliberate design choices: (1) Non-Stigmatizing Terminology: the application avoids pejorative labels like 'Dangerous', explicitly labeling zones as 'Elevated Reported Incidents'; (2) Transparent Provenance: every advisory links directly to public news sources; and (3) Exclusion from Enforcement Loops: designed exclusively as a civilian safety assistant, preventing punitive feedback loops [33].</w:t>
      </w:r>
    </w:p>
    <w:p>
      <w:pPr>
        <w:spacing w:before="240" w:after="80"/>
      </w:pPr>
      <w:r>
        <w:rPr>
          <w:b/>
          <w:color w:val="2B6CB0"/>
          <w:sz w:val="22"/>
        </w:rPr>
        <w:t>C. Privacy and Statutory Compliance</w:t>
      </w:r>
    </w:p>
    <w:p>
      <w:pPr>
        <w:spacing w:after="120" w:line="276" w:lineRule="auto"/>
        <w:jc w:val="both"/>
      </w:pPr>
      <w:r>
        <w:rPr>
          <w:sz w:val="20"/>
        </w:rPr>
        <w:t>Personal location records represent highly sensitive privacy data [34]. CrimeSense adheres strictly to the principles of India's Digital Personal Data Protection (DPDP) Act of 2023 [35]: location tracking is entirely opt-in, administrative live queries are immutably recorded in audit_logs, and user accounts maintain complete right-to-erasure guarantees.</w:t>
      </w:r>
    </w:p>
    <w:p>
      <w:pPr>
        <w:spacing w:before="240" w:after="80"/>
      </w:pPr>
      <w:r>
        <w:rPr>
          <w:b/>
          <w:color w:val="2B6CB0"/>
          <w:sz w:val="22"/>
        </w:rPr>
        <w:t>D. Limitations and Threats to Validity</w:t>
      </w:r>
    </w:p>
    <w:p>
      <w:pPr>
        <w:spacing w:after="120" w:line="276" w:lineRule="auto"/>
        <w:jc w:val="both"/>
      </w:pPr>
      <w:r>
        <w:rPr>
          <w:sz w:val="20"/>
        </w:rPr>
        <w:t>Several limitations must be acknowledged: (1) Reporting Selection Bias: news-derived data reflects media attention rather than the true underlying volume of minor infractions [36]; (2) Locality-Level Geocoding Resolution: in Tier-II municipalities, coordinates represent neighborhood centroids, making distance decay meaningful only at scales above a few hundred meters [37]; and (3) Browser Background Constraints: continuous background surveillance under mobile sleep states requires native app container packaging [38].</w:t>
      </w:r>
    </w:p>
    <w:p>
      <w:pPr>
        <w:spacing w:before="320" w:after="120"/>
      </w:pPr>
      <w:r>
        <w:rPr>
          <w:b/>
          <w:color w:val="1A365D"/>
          <w:sz w:val="26"/>
        </w:rPr>
        <w:t>VIII. CONCLUSION AND FUTURE WORK</w:t>
      </w:r>
    </w:p>
    <w:p>
      <w:pPr>
        <w:spacing w:after="120" w:line="276" w:lineRule="auto"/>
        <w:jc w:val="both"/>
      </w:pPr>
      <w:r>
        <w:rPr>
          <w:sz w:val="20"/>
        </w:rPr>
        <w:t>This paper presented CrimeSense, an end-to-end spatial crime visualization, zone classification, and personal safety platform customized for the urban realities of Tier-II Indian cities. By bridging analyst-grade administrative visualization with proactive resident protection, CrimeSense addresses the limitations of purely reactive panic applications. The platform incorporates a 596-record verified crime database, an explainable spatio-temporal zone scoring engine, pre-visit destination advisories, a safe-haven spatial discovery algorithm, and an automated red-zone inactivity escalation state machine. All core data structures, Google authentication protocols, and administrative features were empirically validated against a single SQLite persistence store. Future work will execute the multi-year rolling temporal evaluation protocol to empirically calibrate optimal zone saturation thresholds, deploy the Knox pattern-recurrence engine over live ingestion streams, conduct extensive in-situ safe-haven field audits across Vellore, and execute community usability trials evaluating citizen trust and cognitive load under simulated urban transit scenarios.</w:t>
      </w:r>
    </w:p>
    <w:p>
      <w:pPr>
        <w:spacing w:before="320" w:after="120"/>
      </w:pPr>
      <w:r>
        <w:rPr>
          <w:b/>
          <w:color w:val="1A365D"/>
          <w:sz w:val="26"/>
        </w:rPr>
        <w:t>REFERENCES</w:t>
      </w:r>
    </w:p>
    <w:p>
      <w:pPr>
        <w:spacing w:after="60" w:line="252" w:lineRule="auto"/>
      </w:pPr>
      <w:r>
        <w:rPr>
          <w:sz w:val="17"/>
        </w:rPr>
        <w:t>[1] D. Weisburd, 'The law of crime concentration and the criminology of place,' Criminology, vol. 53, no. 2, pp. 133–157, 2015.</w:t>
      </w:r>
    </w:p>
    <w:p>
      <w:pPr>
        <w:spacing w:after="60" w:line="252" w:lineRule="auto"/>
      </w:pPr>
      <w:r>
        <w:rPr>
          <w:sz w:val="17"/>
        </w:rPr>
        <w:t>[2] L. W. Sherman, P. R. Gartin, and M. E. Buerger, 'Hot spots of predatory crime: Routine activities and the criminology of place,' Criminology, vol. 27, no. 1, pp. 27–56, 1989.</w:t>
      </w:r>
    </w:p>
    <w:p>
      <w:pPr>
        <w:spacing w:after="60" w:line="252" w:lineRule="auto"/>
      </w:pPr>
      <w:r>
        <w:rPr>
          <w:sz w:val="17"/>
        </w:rPr>
        <w:t>[3] L. E. Cohen and M. Felson, 'Social change and crime rate trends: A routine activity approach,' Amer. Sociol. Rev., vol. 44, no. 4, pp. 588–608, 1979.</w:t>
      </w:r>
    </w:p>
    <w:p>
      <w:pPr>
        <w:spacing w:after="60" w:line="252" w:lineRule="auto"/>
      </w:pPr>
      <w:r>
        <w:rPr>
          <w:sz w:val="17"/>
        </w:rPr>
        <w:t>[4] P. J. Brantingham and P. L. Brantingham, Patterns in Crime. New York, NY, USA: Macmillan, 1984.</w:t>
      </w:r>
    </w:p>
    <w:p>
      <w:pPr>
        <w:spacing w:after="60" w:line="252" w:lineRule="auto"/>
      </w:pPr>
      <w:r>
        <w:rPr>
          <w:sz w:val="17"/>
        </w:rPr>
        <w:t>[5] S. Chainey, L. Tompson, and S. Uhlig, 'The utility of hotspot mapping for predicting spatial patterns of crime,' Secur. J., vol. 21, no. 1–2, pp. 4–28, 2008.</w:t>
      </w:r>
    </w:p>
    <w:p>
      <w:pPr>
        <w:spacing w:after="60" w:line="252" w:lineRule="auto"/>
      </w:pPr>
      <w:r>
        <w:rPr>
          <w:sz w:val="17"/>
        </w:rPr>
        <w:t>[6] Y. Hu, F. Wang, C. Guin, and H. Zhu, 'A spatio-temporal kernel density estimation framework for predictive crime hotspot mapping and evaluation,' Appl. Geogr., vol. 99, pp. 89–97, 2018.</w:t>
      </w:r>
    </w:p>
    <w:p>
      <w:pPr>
        <w:spacing w:after="60" w:line="252" w:lineRule="auto"/>
      </w:pPr>
      <w:r>
        <w:rPr>
          <w:sz w:val="17"/>
        </w:rPr>
        <w:t>[7] M. Ester, H.-P. Kriegel, J. Sander, and X. Xu, 'A density-based algorithm for discovering clusters in large spatial databases with noise,' in Proc. 2nd Int. Conf. Knowl. Discovery Data Mining (KDD), 1996, pp. 226–231.</w:t>
      </w:r>
    </w:p>
    <w:p>
      <w:pPr>
        <w:spacing w:after="60" w:line="252" w:lineRule="auto"/>
      </w:pPr>
      <w:r>
        <w:rPr>
          <w:sz w:val="17"/>
        </w:rPr>
        <w:t>[8] A. A. Braga, B. S. Turchan, A. V. Papachristos, and D. M. Hureau, 'Hot spots policing of small geographic areas effects on crime,' Campbell Syst. Rev., vol. 15, no. 3, Art. no. e1046, 2019.</w:t>
      </w:r>
    </w:p>
    <w:p>
      <w:pPr>
        <w:spacing w:after="60" w:line="252" w:lineRule="auto"/>
      </w:pPr>
      <w:r>
        <w:rPr>
          <w:sz w:val="17"/>
        </w:rPr>
        <w:t>[9] J. M. Caplan, L. W. Kennedy, and J. Miller, 'Risk terrain modeling: Brokering criminological theory and GIS methods for crime forecasting,' Justice Quart., vol. 28, no. 2, pp. 360–381, 2011.</w:t>
      </w:r>
    </w:p>
    <w:p>
      <w:pPr>
        <w:spacing w:after="60" w:line="252" w:lineRule="auto"/>
      </w:pPr>
      <w:r>
        <w:rPr>
          <w:sz w:val="17"/>
        </w:rPr>
        <w:t>[10] G. O. Mohler, M. B. Short, P. J. Brantingham, F. P. Schoenberg, and G. E. Tita, 'Self-exciting point process modeling of crime,' J. Amer. Statist. Assoc., vol. 106, no. 493, pp. 100–108, 2011.</w:t>
      </w:r>
    </w:p>
    <w:p>
      <w:pPr>
        <w:spacing w:after="60" w:line="252" w:lineRule="auto"/>
      </w:pPr>
      <w:r>
        <w:rPr>
          <w:sz w:val="17"/>
        </w:rPr>
        <w:t>[11] National Crime Records Bureau, 'Crime in India 2022,' Ministry of Home Affairs, Government of India, New Delhi, India, 2023.</w:t>
      </w:r>
    </w:p>
    <w:p>
      <w:pPr>
        <w:spacing w:after="60" w:line="252" w:lineRule="auto"/>
      </w:pPr>
      <w:r>
        <w:rPr>
          <w:sz w:val="17"/>
        </w:rPr>
        <w:t>[12] D. Chand, S. Nayak, K. S. Bhat, S. Parikh, Y. Singh, and A. A. Kamath, 'A mobile application for women’s safety: WoSApp,' in Proc. IEEE Region 10 Conf. (TENCON), 2016, pp. 1–5.</w:t>
      </w:r>
    </w:p>
    <w:p>
      <w:pPr>
        <w:spacing w:after="60" w:line="252" w:lineRule="auto"/>
      </w:pPr>
      <w:r>
        <w:rPr>
          <w:sz w:val="17"/>
        </w:rPr>
        <w:t>[13] M. S. Gerber, 'Predicting crime using Twitter and kernel density estimation,' Decis. Support Syst., vol. 61, pp. 115–125, 2014.</w:t>
      </w:r>
    </w:p>
    <w:p>
      <w:pPr>
        <w:spacing w:after="60" w:line="252" w:lineRule="auto"/>
      </w:pPr>
      <w:r>
        <w:rPr>
          <w:sz w:val="17"/>
        </w:rPr>
        <w:t>[14] A. Umair, M. S. Sarfraz, M. Ahmad, U. Habib, M. H. Ullah, and M. Mazzara, 'Spatiotemporal analysis of web news archives for crime prediction,' Appl. Sci., vol. 10, no. 22, Art. no. 8220, 2020.</w:t>
      </w:r>
    </w:p>
    <w:p>
      <w:pPr>
        <w:spacing w:after="60" w:line="252" w:lineRule="auto"/>
      </w:pPr>
      <w:r>
        <w:rPr>
          <w:sz w:val="17"/>
        </w:rPr>
        <w:t>[15] J. Jacobs, The Death and Life of Great American Cities. New York, NY, USA: Random House, 1961.</w:t>
      </w:r>
    </w:p>
    <w:p>
      <w:pPr>
        <w:spacing w:after="60" w:line="252" w:lineRule="auto"/>
      </w:pPr>
      <w:r>
        <w:rPr>
          <w:sz w:val="17"/>
        </w:rPr>
        <w:t>[16] E. G. Knox, 'The detection of space-time interactions,' J. Roy. Statist. Soc. C (Appl. Statist.), vol. 13, no. 1, pp. 25–29, 1964.</w:t>
      </w:r>
    </w:p>
    <w:p>
      <w:pPr>
        <w:spacing w:after="60" w:line="252" w:lineRule="auto"/>
      </w:pPr>
      <w:r>
        <w:rPr>
          <w:sz w:val="17"/>
        </w:rPr>
        <w:t>[17] M. Townsley, R. Homel, and J. Chaseling, 'Infectious burglaries: A test of the near repeat hypothesis,' Brit. J. Criminol., vol. 43, no. 3, pp. 615–633, 2003.</w:t>
      </w:r>
    </w:p>
    <w:p>
      <w:pPr>
        <w:spacing w:after="60" w:line="252" w:lineRule="auto"/>
      </w:pPr>
      <w:r>
        <w:rPr>
          <w:sz w:val="17"/>
        </w:rPr>
        <w:t>[18] R. Agrawal and R. Srikant, 'Fast algorithms for mining association rules,' in Proc. 20th Int. Conf. Very Large Data Bases (VLDB), 1994, pp. 487–499.</w:t>
      </w:r>
    </w:p>
    <w:p>
      <w:pPr>
        <w:spacing w:after="60" w:line="252" w:lineRule="auto"/>
      </w:pPr>
      <w:r>
        <w:rPr>
          <w:sz w:val="17"/>
        </w:rPr>
        <w:t>[19] B. W. Silverman, Density Estimation for Statistics and Data Analysis. London, U.K.: Chapman &amp; Hall, 1986.</w:t>
      </w:r>
    </w:p>
    <w:p>
      <w:pPr>
        <w:spacing w:after="60" w:line="252" w:lineRule="auto"/>
      </w:pPr>
      <w:r>
        <w:rPr>
          <w:sz w:val="17"/>
        </w:rPr>
        <w:t>[20] X. Zhang, L. Liu, M. Lan, G. Song, L. Xiao, and J. Chen, 'Comparison of machine learning algorithms for predicting crime hotspots,' IEEE Access, vol. 8, pp. 181302–181310, 2020.</w:t>
      </w:r>
    </w:p>
    <w:p>
      <w:pPr>
        <w:spacing w:after="60" w:line="252" w:lineRule="auto"/>
      </w:pPr>
      <w:r>
        <w:rPr>
          <w:sz w:val="17"/>
        </w:rPr>
        <w:t>[21] Z. Marchment and P. Gill, 'Systematic review and meta-analysis of risk terrain modelling (RTM) as a spatial forecasting method,' Crime Sci., vol. 10, Art. no. 12, 2021.</w:t>
      </w:r>
    </w:p>
    <w:p>
      <w:pPr>
        <w:spacing w:after="60" w:line="252" w:lineRule="auto"/>
      </w:pPr>
      <w:r>
        <w:rPr>
          <w:sz w:val="17"/>
        </w:rPr>
        <w:t>[22] O. Kounadi, A. Ristea, A. Araujo, and M. Leitner, 'A systematic review on spatial crime forecasting,' Crime Sci., vol. 9, Art. no. 7, 2020.</w:t>
      </w:r>
    </w:p>
    <w:p>
      <w:pPr>
        <w:spacing w:after="60" w:line="252" w:lineRule="auto"/>
      </w:pPr>
      <w:r>
        <w:rPr>
          <w:sz w:val="17"/>
        </w:rPr>
        <w:t>[23] V. Mandalapu, L. Elluri, P. Vyas, and N. Roy, 'Crime prediction using machine learning and deep learning: A systematic review and future directions,' IEEE Access, vol. 11, pp. 60153–60170, 2023.</w:t>
      </w:r>
    </w:p>
    <w:p>
      <w:pPr>
        <w:spacing w:after="60" w:line="252" w:lineRule="auto"/>
      </w:pPr>
      <w:r>
        <w:rPr>
          <w:sz w:val="17"/>
        </w:rPr>
        <w:t>[24] S. D. Johnson et al., 'Space–time patterns of risk: A cross national assessment of residential burglary victimization,' J. Quant. Criminol., vol. 23, no. 3, pp. 201–219, 2007.</w:t>
      </w:r>
    </w:p>
    <w:p>
      <w:pPr>
        <w:spacing w:after="60" w:line="252" w:lineRule="auto"/>
      </w:pPr>
      <w:r>
        <w:rPr>
          <w:sz w:val="17"/>
        </w:rPr>
        <w:t>[25] E. Galbrun, K. Pelechrinis, and E. Terzi, 'Safe navigation in urban environments,' in Proc. 3rd Int. Workshop Urban Comput. (UrbComp), KDD, New York, NY, USA, 2014.</w:t>
      </w:r>
    </w:p>
    <w:p>
      <w:pPr>
        <w:spacing w:after="60" w:line="252" w:lineRule="auto"/>
      </w:pPr>
      <w:r>
        <w:rPr>
          <w:sz w:val="17"/>
        </w:rPr>
        <w:t>[26] O. Newman, Defensible Space: Crime Prevention Through Urban Design. New York, NY, USA: Macmillan, 1972.</w:t>
      </w:r>
    </w:p>
    <w:p>
      <w:pPr>
        <w:spacing w:after="60" w:line="252" w:lineRule="auto"/>
      </w:pPr>
      <w:r>
        <w:rPr>
          <w:sz w:val="17"/>
        </w:rPr>
        <w:t>[27] M. Haklay and P. Weber, 'OpenStreetMap: User-generated street maps,' IEEE Pervasive Comput., vol. 7, no. 4, pp. 12–18, 2008.</w:t>
      </w:r>
    </w:p>
    <w:p>
      <w:pPr>
        <w:spacing w:after="60" w:line="252" w:lineRule="auto"/>
      </w:pPr>
      <w:r>
        <w:rPr>
          <w:sz w:val="17"/>
        </w:rPr>
        <w:t>[28] N. Sakimura, J. Bradley, M. Jones, B. de Medeiros, and C. Mortimer, 'OpenID Connect Core 1.0 incorporating errata set 1,' OpenID Foundation, 2014.</w:t>
      </w:r>
    </w:p>
    <w:p>
      <w:pPr>
        <w:spacing w:after="60" w:line="252" w:lineRule="auto"/>
      </w:pPr>
      <w:r>
        <w:rPr>
          <w:sz w:val="17"/>
        </w:rPr>
        <w:t>[29] R. W. Sinnott, 'Virtues of the haversine,' Sky Telescope, vol. 68, no. 2, p. 159, 1984.</w:t>
      </w:r>
    </w:p>
    <w:p>
      <w:pPr>
        <w:spacing w:after="60" w:line="252" w:lineRule="auto"/>
      </w:pPr>
      <w:r>
        <w:rPr>
          <w:sz w:val="17"/>
        </w:rPr>
        <w:t>[30] J. Brooke, 'SUS: A quick and dirty usability scale,' in Usability Evaluation in Industry, P. W. Jordan et al., Eds. London, U.K.: Taylor &amp; Francis, 1996, pp. 189–194.</w:t>
      </w:r>
    </w:p>
    <w:p>
      <w:pPr>
        <w:spacing w:after="60" w:line="252" w:lineRule="auto"/>
      </w:pPr>
      <w:r>
        <w:rPr>
          <w:sz w:val="17"/>
        </w:rPr>
        <w:t>[31] R. Richardson, J. M. Schultz, and K. Crawford, 'Dirty data, bad predictions: How civil rights violations impact police data, predictive policing systems, and justice,' New York Univ. Law Rev. Online, vol. 94, p. 15, 2019.</w:t>
      </w:r>
    </w:p>
    <w:p>
      <w:pPr>
        <w:spacing w:after="60" w:line="252" w:lineRule="auto"/>
      </w:pPr>
      <w:r>
        <w:rPr>
          <w:sz w:val="17"/>
        </w:rPr>
        <w:t>[32] D. Ensign, S. A. Friedler, S. Neville, C. Scheidegger, and S. Venkatasubramanian, 'Runaway feedback loops in predictive policing,' in Proc. Conf. Fairness, Accountability Transparency (FAT*), PMLR, vol. 81, 2018, pp. 160–171.</w:t>
      </w:r>
    </w:p>
    <w:p>
      <w:pPr>
        <w:spacing w:after="60" w:line="252" w:lineRule="auto"/>
      </w:pPr>
      <w:r>
        <w:rPr>
          <w:sz w:val="17"/>
        </w:rPr>
        <w:t>[33] K. Lum and W. Isaac, 'To predict and serve?,' Significance, vol. 13, no. 5, pp. 14–19, 2016.</w:t>
      </w:r>
    </w:p>
    <w:p>
      <w:pPr>
        <w:spacing w:after="60" w:line="252" w:lineRule="auto"/>
      </w:pPr>
      <w:r>
        <w:rPr>
          <w:sz w:val="17"/>
        </w:rPr>
        <w:t>[34] A. R. Beresford and F. Stajano, 'Location privacy in pervasive computing,' IEEE Pervasive Comput., vol. 2, no. 1, pp. 46–55, 2003.</w:t>
      </w:r>
    </w:p>
    <w:p>
      <w:pPr>
        <w:spacing w:after="60" w:line="252" w:lineRule="auto"/>
      </w:pPr>
      <w:r>
        <w:rPr>
          <w:sz w:val="17"/>
        </w:rPr>
        <w:t>[35] Government of India, 'The Digital Personal Data Protection Act, 2023,' The Gazette of India, Act No. 22 of 2023, Aug. 2023.</w:t>
      </w:r>
    </w:p>
    <w:p>
      <w:pPr>
        <w:spacing w:after="60" w:line="252" w:lineRule="auto"/>
      </w:pPr>
      <w:r>
        <w:rPr>
          <w:sz w:val="17"/>
        </w:rPr>
        <w:t>[36] J. Earl, A. Martin, J. D. McCarthy, and S. A. Soule, 'The use of newspaper data in the study of collective action,' Annu. Rev. Sociol., vol. 30, pp. 65–80, 2004.</w:t>
      </w:r>
    </w:p>
    <w:p>
      <w:pPr>
        <w:spacing w:after="60" w:line="252" w:lineRule="auto"/>
      </w:pPr>
      <w:r>
        <w:rPr>
          <w:sz w:val="17"/>
        </w:rPr>
        <w:t>[37] P. A. Zandbergen, 'Geocoding quality and implications for spatial analysis,' Geogr. Compass, vol. 3, no. 2, pp. 647–680, 2009.</w:t>
      </w:r>
    </w:p>
    <w:p>
      <w:pPr>
        <w:spacing w:after="60" w:line="252" w:lineRule="auto"/>
      </w:pPr>
      <w:r>
        <w:rPr>
          <w:sz w:val="17"/>
        </w:rPr>
        <w:t>[38] M. Thomson, E. Damaggio, and B. Raymor, Eds., 'Generic event delivery using HTTP push,' IETF RFC 8030, Dec. 2016.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