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3B7" w:rsidRDefault="00F433B7" w:rsidP="00F433B7">
      <w:pPr>
        <w:pStyle w:val="Title"/>
      </w:pPr>
      <w:r w:rsidRPr="00F433B7">
        <w:t>A</w:t>
      </w:r>
      <w:r>
        <w:t>ssignment</w:t>
      </w:r>
      <w:r w:rsidRPr="00F433B7">
        <w:t xml:space="preserve"> 1: Kickstarter Analysis</w:t>
      </w:r>
    </w:p>
    <w:p w:rsidR="00F433B7" w:rsidRPr="00F433B7" w:rsidRDefault="00F433B7" w:rsidP="00F433B7">
      <w:bookmarkStart w:id="0" w:name="_GoBack"/>
      <w:bookmarkEnd w:id="0"/>
    </w:p>
    <w:p w:rsidR="005B4AFB" w:rsidRDefault="005B4AFB" w:rsidP="005B4AFB">
      <w:pPr>
        <w:pStyle w:val="Heading2"/>
      </w:pPr>
      <w:r>
        <w:t>T</w:t>
      </w:r>
      <w:r w:rsidRPr="005B4AFB">
        <w:t xml:space="preserve">hree conclusions we can make about Kickstarter campaigns </w:t>
      </w:r>
      <w:r w:rsidR="002E084C">
        <w:t>from</w:t>
      </w:r>
      <w:r w:rsidRPr="005B4AFB">
        <w:t xml:space="preserve"> the provided data</w:t>
      </w:r>
    </w:p>
    <w:p w:rsidR="00A164D2" w:rsidRDefault="00A164D2"/>
    <w:p w:rsidR="002E084C" w:rsidRDefault="002E084C" w:rsidP="009309CC">
      <w:r>
        <w:t xml:space="preserve">Analyzing the projects by categories shows that the top 3 categories in terms of number of projects are </w:t>
      </w:r>
      <w:r w:rsidRPr="009309CC">
        <w:rPr>
          <w:i/>
        </w:rPr>
        <w:t>theater</w:t>
      </w:r>
      <w:r w:rsidRPr="005B4AFB">
        <w:t xml:space="preserve">, </w:t>
      </w:r>
      <w:r w:rsidRPr="009309CC">
        <w:rPr>
          <w:i/>
        </w:rPr>
        <w:t>music</w:t>
      </w:r>
      <w:r w:rsidRPr="005B4AFB">
        <w:t xml:space="preserve"> and </w:t>
      </w:r>
      <w:r w:rsidRPr="009309CC">
        <w:rPr>
          <w:i/>
        </w:rPr>
        <w:t>film &amp; video</w:t>
      </w:r>
      <w:r>
        <w:t xml:space="preserve">. These categories are also the only ones to have a success rate above 50%. These three categories share a cultural entertainment value. So it seems like Kickstarter is a good platform for raising funds for these categories. </w:t>
      </w:r>
    </w:p>
    <w:p w:rsidR="002E084C" w:rsidRDefault="002E084C"/>
    <w:p w:rsidR="00A164D2" w:rsidRDefault="002E084C">
      <w:pPr>
        <w:rPr>
          <w:noProof/>
        </w:rPr>
      </w:pPr>
      <w:r>
        <w:t>Also, food has the lowest success rate among the categories.</w:t>
      </w:r>
      <w:r w:rsidR="000E2F3D">
        <w:rPr>
          <w:noProof/>
        </w:rPr>
        <w:t xml:space="preserve"> </w:t>
      </w:r>
    </w:p>
    <w:p w:rsidR="00A164D2" w:rsidRDefault="00A164D2">
      <w:pPr>
        <w:rPr>
          <w:noProof/>
        </w:rPr>
      </w:pPr>
    </w:p>
    <w:p w:rsidR="00A164D2" w:rsidRDefault="00A164D2">
      <w:pPr>
        <w:rPr>
          <w:noProof/>
        </w:rPr>
      </w:pPr>
      <w:r>
        <w:rPr>
          <w:noProof/>
        </w:rPr>
        <w:drawing>
          <wp:inline distT="0" distB="0" distL="0" distR="0" wp14:anchorId="62897254" wp14:editId="71C53D7F">
            <wp:extent cx="5943600" cy="2854960"/>
            <wp:effectExtent l="0" t="0" r="1270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8366C27-65C5-144B-9265-D9A5C1D36C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E2F3D" w:rsidRDefault="000E2F3D"/>
    <w:p w:rsidR="000B7F8D" w:rsidRDefault="000B7F8D"/>
    <w:p w:rsidR="009309CC" w:rsidRDefault="009309CC"/>
    <w:p w:rsidR="009309CC" w:rsidRDefault="009309CC"/>
    <w:p w:rsidR="000E2F3D" w:rsidRDefault="002E084C">
      <w:r>
        <w:t>A significant portion of the projects on Kickstarter originated from US, followed by Great Britain, Canada and Australia. These are primarily English-speaking countries. It would seem that there is an affinity between English-speakers and Kickstarter. What could be the reason for this? According to a post on Kickstarter’s blog</w:t>
      </w:r>
      <w:hyperlink r:id="rId6" w:history="1">
        <w:r w:rsidRPr="002E084C">
          <w:rPr>
            <w:rStyle w:val="Hyperlink"/>
            <w:vertAlign w:val="superscript"/>
          </w:rPr>
          <w:t>[1]</w:t>
        </w:r>
      </w:hyperlink>
      <w:r>
        <w:t>, approximately 75% of backers in Kickstarter’s community come from English-speaking countries.</w:t>
      </w:r>
    </w:p>
    <w:p w:rsidR="00A164D2" w:rsidRPr="00A164D2" w:rsidRDefault="00A164D2"/>
    <w:p w:rsidR="000E2F3D" w:rsidRPr="002E084C" w:rsidRDefault="006928F1" w:rsidP="00A164D2">
      <w:pPr>
        <w:jc w:val="center"/>
      </w:pPr>
      <w:r>
        <w:rPr>
          <w:noProof/>
        </w:rPr>
        <w:drawing>
          <wp:inline distT="0" distB="0" distL="0" distR="0" wp14:anchorId="02F7EEBE" wp14:editId="331E83AD">
            <wp:extent cx="5844619" cy="2978870"/>
            <wp:effectExtent l="0" t="0" r="1016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224161-9601-3944-9C16-C59B94A005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0B7F8D" w:rsidRDefault="000B7F8D"/>
    <w:p w:rsidR="006928F1" w:rsidRDefault="002E084C">
      <w:r>
        <w:t>Projects launched during the first two quarters of the year have a higher likelihood of success than projects launched during the last two quarters of the year. December especially is a challenging time to launch a project on Kickstarter and it is the only month of the year where projects are more likely to fail than succeed. Kickstarter projects are funded by a community consisting of individuals. Most of us have higher expenses and less disposable income in December due to holiday spending and vacation plans. A project on Kickstarter on average stays open for 33 days. So, the impact of lack of free income in December on projects started during that period is significant.</w:t>
      </w:r>
    </w:p>
    <w:p w:rsidR="00A164D2" w:rsidRDefault="00A164D2"/>
    <w:p w:rsidR="006928F1" w:rsidRDefault="006928F1">
      <w:r>
        <w:rPr>
          <w:noProof/>
        </w:rPr>
        <w:drawing>
          <wp:inline distT="0" distB="0" distL="0" distR="0" wp14:anchorId="56471770" wp14:editId="659413A0">
            <wp:extent cx="6230613" cy="3044825"/>
            <wp:effectExtent l="0" t="0" r="18415" b="158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B58DD5E-98A1-B34C-8D10-1BAF0393A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928F1" w:rsidRPr="002E084C" w:rsidRDefault="006928F1" w:rsidP="00A164D2">
      <w:pPr>
        <w:jc w:val="center"/>
      </w:pPr>
    </w:p>
    <w:p w:rsidR="002E084C" w:rsidRDefault="002E084C"/>
    <w:p w:rsidR="002E084C" w:rsidRDefault="002E084C">
      <w:r>
        <w:br w:type="page"/>
      </w:r>
    </w:p>
    <w:p w:rsidR="005B4AFB" w:rsidRDefault="005B4AFB" w:rsidP="00A164D2">
      <w:pPr>
        <w:pStyle w:val="Heading2"/>
      </w:pPr>
      <w:r>
        <w:lastRenderedPageBreak/>
        <w:t>Limitations of this dataset</w:t>
      </w:r>
    </w:p>
    <w:p w:rsidR="00A164D2" w:rsidRPr="00A164D2" w:rsidRDefault="00A164D2" w:rsidP="00A164D2"/>
    <w:p w:rsidR="005B4AFB" w:rsidRDefault="005B4AFB" w:rsidP="005B4AFB">
      <w:r>
        <w:t xml:space="preserve">The dataset doesn’t specify the countries from which the pledged amounts are received. </w:t>
      </w:r>
      <w:r w:rsidR="002E084C">
        <w:t>Knowing this could help in analyzing weather the backers tend to fund projects from their own countries or not.</w:t>
      </w:r>
    </w:p>
    <w:p w:rsidR="005B4AFB" w:rsidRDefault="005B4AFB" w:rsidP="005B4AFB"/>
    <w:p w:rsidR="005B4AFB" w:rsidRDefault="005B4AFB" w:rsidP="005B4A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</w:t>
      </w:r>
      <w:r w:rsidRPr="005B4AF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ome other possible tables/graphs that we could create</w:t>
      </w:r>
    </w:p>
    <w:p w:rsidR="00A164D2" w:rsidRDefault="00A164D2" w:rsidP="005B4A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B4AFB" w:rsidRPr="008531A0" w:rsidRDefault="00724697" w:rsidP="005B4AFB">
      <w:r>
        <w:t xml:space="preserve">Below graph shows the average of pledged amount for successful projects. It is interesting to note that </w:t>
      </w:r>
      <w:r w:rsidR="00A66CA0">
        <w:t xml:space="preserve">more money is pledged towards </w:t>
      </w:r>
      <w:r w:rsidR="00A66CA0">
        <w:rPr>
          <w:i/>
        </w:rPr>
        <w:t>technology</w:t>
      </w:r>
      <w:r w:rsidR="008531A0">
        <w:rPr>
          <w:i/>
        </w:rPr>
        <w:t xml:space="preserve"> </w:t>
      </w:r>
      <w:r w:rsidR="008531A0">
        <w:t xml:space="preserve">even though there are less projects under this category </w:t>
      </w:r>
      <w:r w:rsidR="008D227C">
        <w:t xml:space="preserve">than </w:t>
      </w:r>
      <w:r w:rsidR="008D227C">
        <w:rPr>
          <w:i/>
        </w:rPr>
        <w:t>theater, music, film &amp; video</w:t>
      </w:r>
      <w:r w:rsidR="008531A0">
        <w:t>.</w:t>
      </w:r>
    </w:p>
    <w:p w:rsidR="00724697" w:rsidRDefault="00724697" w:rsidP="005B4AFB"/>
    <w:p w:rsidR="00724697" w:rsidRDefault="001F4206" w:rsidP="005B4AFB">
      <w:r>
        <w:rPr>
          <w:noProof/>
        </w:rPr>
        <w:drawing>
          <wp:inline distT="0" distB="0" distL="0" distR="0" wp14:anchorId="7D514370" wp14:editId="379F0D6D">
            <wp:extent cx="5943600" cy="2994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E4" w:rsidRPr="002E084C" w:rsidRDefault="003804E4" w:rsidP="000B7F8D"/>
    <w:p w:rsidR="00724697" w:rsidRDefault="00724697" w:rsidP="005B4AFB"/>
    <w:p w:rsidR="008531A0" w:rsidRDefault="008531A0" w:rsidP="005B4AFB"/>
    <w:p w:rsidR="008D227C" w:rsidRDefault="008D227C" w:rsidP="005B4AFB"/>
    <w:p w:rsidR="008D227C" w:rsidRDefault="008D227C" w:rsidP="005B4AFB"/>
    <w:p w:rsidR="008D227C" w:rsidRDefault="008D227C" w:rsidP="005B4AFB"/>
    <w:p w:rsidR="008D227C" w:rsidRDefault="008D227C" w:rsidP="005B4AFB"/>
    <w:p w:rsidR="008D227C" w:rsidRDefault="008D227C" w:rsidP="005B4AFB"/>
    <w:p w:rsidR="008D227C" w:rsidRDefault="008D227C" w:rsidP="005B4AFB"/>
    <w:p w:rsidR="008D227C" w:rsidRDefault="008D227C" w:rsidP="005B4AFB"/>
    <w:p w:rsidR="008D227C" w:rsidRDefault="008D227C" w:rsidP="005B4AFB"/>
    <w:p w:rsidR="008D227C" w:rsidRDefault="008D227C" w:rsidP="005B4AFB"/>
    <w:p w:rsidR="008D227C" w:rsidRDefault="008D227C" w:rsidP="005B4AFB"/>
    <w:p w:rsidR="008D227C" w:rsidRDefault="008D227C" w:rsidP="005B4AFB"/>
    <w:p w:rsidR="008531A0" w:rsidRDefault="008531A0" w:rsidP="005B4AFB">
      <w:r>
        <w:lastRenderedPageBreak/>
        <w:t xml:space="preserve">Graph below shows the average of pledged amount for </w:t>
      </w:r>
      <w:r w:rsidR="008D227C">
        <w:t xml:space="preserve">failed </w:t>
      </w:r>
      <w:r>
        <w:t xml:space="preserve">project. </w:t>
      </w:r>
      <w:r w:rsidR="008D227C">
        <w:t>It seems like,</w:t>
      </w:r>
      <w:r>
        <w:t xml:space="preserve"> low budget projects are more successful under </w:t>
      </w:r>
      <w:r>
        <w:rPr>
          <w:i/>
        </w:rPr>
        <w:t xml:space="preserve">theater </w:t>
      </w:r>
      <w:r>
        <w:t xml:space="preserve">and </w:t>
      </w:r>
      <w:r>
        <w:rPr>
          <w:i/>
        </w:rPr>
        <w:t>film &amp; video.</w:t>
      </w:r>
      <w:r>
        <w:t xml:space="preserve"> </w:t>
      </w:r>
    </w:p>
    <w:p w:rsidR="008D227C" w:rsidRPr="008531A0" w:rsidRDefault="008D227C" w:rsidP="005B4AFB"/>
    <w:p w:rsidR="000631F4" w:rsidRDefault="000631F4" w:rsidP="005B4AFB">
      <w:r>
        <w:rPr>
          <w:noProof/>
        </w:rPr>
        <w:drawing>
          <wp:inline distT="0" distB="0" distL="0" distR="0" wp14:anchorId="1314E9CF" wp14:editId="3178A1CE">
            <wp:extent cx="5943600" cy="2853690"/>
            <wp:effectExtent l="0" t="0" r="12700" b="1651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EB7CC87E-B1BE-224B-BF0F-0D4F7882DF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804E4" w:rsidRPr="002E084C" w:rsidRDefault="003804E4" w:rsidP="003804E4">
      <w:pPr>
        <w:jc w:val="center"/>
      </w:pPr>
    </w:p>
    <w:p w:rsidR="000631F4" w:rsidRDefault="000631F4" w:rsidP="005B4AFB"/>
    <w:p w:rsidR="0057137F" w:rsidRDefault="0057137F" w:rsidP="005B4AFB"/>
    <w:p w:rsidR="003804E4" w:rsidRDefault="003804E4" w:rsidP="00A164D2"/>
    <w:p w:rsidR="00A164D2" w:rsidRDefault="007D2AED" w:rsidP="00A164D2">
      <w:pPr>
        <w:rPr>
          <w:i/>
        </w:rPr>
      </w:pPr>
      <w:r>
        <w:t>Below graph shows, that the number of Kickstarter projects started annually has increased since 2013.</w:t>
      </w:r>
    </w:p>
    <w:p w:rsidR="008D227C" w:rsidRDefault="008D227C" w:rsidP="00A164D2">
      <w:pPr>
        <w:rPr>
          <w:i/>
        </w:rPr>
      </w:pPr>
    </w:p>
    <w:p w:rsidR="008D227C" w:rsidRDefault="008D227C" w:rsidP="00A164D2">
      <w:pPr>
        <w:rPr>
          <w:i/>
        </w:rPr>
      </w:pPr>
      <w:r>
        <w:rPr>
          <w:noProof/>
        </w:rPr>
        <w:drawing>
          <wp:inline distT="0" distB="0" distL="0" distR="0" wp14:anchorId="5542C126" wp14:editId="719F09BE">
            <wp:extent cx="5943600" cy="2884170"/>
            <wp:effectExtent l="0" t="0" r="12700" b="1143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876C91DE-A21D-7949-8C7F-0585C2088F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804E4" w:rsidRPr="002E084C" w:rsidRDefault="003804E4" w:rsidP="003804E4">
      <w:pPr>
        <w:jc w:val="center"/>
      </w:pPr>
    </w:p>
    <w:p w:rsidR="005B4AFB" w:rsidRDefault="005B4AFB">
      <w:pPr>
        <w:rPr>
          <w:i/>
        </w:rPr>
      </w:pPr>
    </w:p>
    <w:p w:rsidR="007D2AED" w:rsidRDefault="007D2AED"/>
    <w:p w:rsidR="0046139C" w:rsidRDefault="0046139C">
      <w:pPr>
        <w:rPr>
          <w:noProof/>
        </w:rPr>
      </w:pPr>
      <w:r>
        <w:lastRenderedPageBreak/>
        <w:t>A</w:t>
      </w:r>
      <w:r w:rsidR="00757C93">
        <w:t xml:space="preserve">verage </w:t>
      </w:r>
      <w:r>
        <w:t>fundraising period of a Kickstarter project is calculated as 33 days</w:t>
      </w:r>
      <w:r>
        <w:rPr>
          <w:noProof/>
        </w:rPr>
        <w:t>. The below graph shows, the average period for a project ranges from 28-38 days across categories.</w:t>
      </w:r>
    </w:p>
    <w:p w:rsidR="003804E4" w:rsidRDefault="003804E4">
      <w:pPr>
        <w:rPr>
          <w:noProof/>
        </w:rPr>
      </w:pPr>
    </w:p>
    <w:p w:rsidR="0046139C" w:rsidRDefault="0046139C">
      <w:r>
        <w:rPr>
          <w:noProof/>
        </w:rPr>
        <w:drawing>
          <wp:inline distT="0" distB="0" distL="0" distR="0" wp14:anchorId="712BD29B" wp14:editId="3D5320B7">
            <wp:extent cx="5943600" cy="2752090"/>
            <wp:effectExtent l="0" t="0" r="12700" b="1651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F6E18E78-F71D-4D46-BD46-6DAD2FCCBB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B4AFB" w:rsidRDefault="005B4AFB" w:rsidP="003804E4">
      <w:pPr>
        <w:jc w:val="center"/>
      </w:pPr>
    </w:p>
    <w:p w:rsidR="005B4AFB" w:rsidRDefault="005B4AFB"/>
    <w:p w:rsidR="005B4AFB" w:rsidRDefault="005B4AFB"/>
    <w:p w:rsidR="005B4AFB" w:rsidRDefault="005B4AFB"/>
    <w:p w:rsidR="0046139C" w:rsidRDefault="0046139C" w:rsidP="002E084C"/>
    <w:p w:rsidR="002E084C" w:rsidRPr="000B7F8D" w:rsidRDefault="002E084C" w:rsidP="002E084C">
      <w:r w:rsidRPr="000B7F8D">
        <w:t>References</w:t>
      </w:r>
    </w:p>
    <w:p w:rsidR="002E084C" w:rsidRPr="000B7F8D" w:rsidRDefault="002E084C" w:rsidP="002E084C"/>
    <w:p w:rsidR="002E084C" w:rsidRPr="000B7F8D" w:rsidRDefault="002E084C" w:rsidP="002E084C">
      <w:r w:rsidRPr="000B7F8D">
        <w:t>[1] https://www.kickstarter.com/blog/best-practices-for-translating-your-project-page</w:t>
      </w:r>
    </w:p>
    <w:sectPr w:rsidR="002E084C" w:rsidRPr="000B7F8D" w:rsidSect="00FB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D1FF8"/>
    <w:multiLevelType w:val="hybridMultilevel"/>
    <w:tmpl w:val="696A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915"/>
    <w:multiLevelType w:val="hybridMultilevel"/>
    <w:tmpl w:val="0BDC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57CB2"/>
    <w:multiLevelType w:val="hybridMultilevel"/>
    <w:tmpl w:val="5112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FB"/>
    <w:rsid w:val="000631F4"/>
    <w:rsid w:val="000B7F8D"/>
    <w:rsid w:val="000E2F3D"/>
    <w:rsid w:val="00141BA7"/>
    <w:rsid w:val="001F4206"/>
    <w:rsid w:val="002E084C"/>
    <w:rsid w:val="00333FCC"/>
    <w:rsid w:val="003804E4"/>
    <w:rsid w:val="0046139C"/>
    <w:rsid w:val="00501EA0"/>
    <w:rsid w:val="0057137F"/>
    <w:rsid w:val="005B4AFB"/>
    <w:rsid w:val="006928F1"/>
    <w:rsid w:val="00724697"/>
    <w:rsid w:val="007531D8"/>
    <w:rsid w:val="00757C93"/>
    <w:rsid w:val="007D2AED"/>
    <w:rsid w:val="008531A0"/>
    <w:rsid w:val="008B4A67"/>
    <w:rsid w:val="008D227C"/>
    <w:rsid w:val="009309CC"/>
    <w:rsid w:val="009C15BD"/>
    <w:rsid w:val="00A164D2"/>
    <w:rsid w:val="00A66CA0"/>
    <w:rsid w:val="00B51F1E"/>
    <w:rsid w:val="00BA789E"/>
    <w:rsid w:val="00F433B7"/>
    <w:rsid w:val="00F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4CB3E"/>
  <w14:defaultImageDpi w14:val="32767"/>
  <w15:chartTrackingRefBased/>
  <w15:docId w15:val="{543F4093-8F3B-DA43-8461-5E0B91FB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A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4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0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08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08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0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ckstarter.com/blog/best-practices-for-translating-your-project-page" TargetMode="External"/><Relationship Id="rId11" Type="http://schemas.openxmlformats.org/officeDocument/2006/relationships/chart" Target="charts/chart5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ruthi/Library/Containers/com.microsoft.Excel/Data/Library/Application%20Support/Microsoft/StarterBook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ruthi/Library/Containers/com.microsoft.Excel/Data/Library/Application%20Support/Microsoft/StarterBook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ruthi/Library/Containers/com.microsoft.Excel/Data/Library/Application%20Support/Microsoft/StarterBook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ruthi/data-science-bootcamp/Assignment1/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ruthi/data-science-bootcamp/Assignment1/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ruthi/data-science-bootcamp/Assignment1/StarterBoo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[StarterBook.xlsx]Sheet4!PivotTable1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 NUMBER</a:t>
            </a:r>
            <a:r>
              <a:rPr lang="en-US" sz="1200" b="1" baseline="0"/>
              <a:t> OF PROJECTS BY CATEGORY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Sheet4!$B$3:$B$4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Sheet4!$B$5:$B$13</c:f>
              <c:numCache>
                <c:formatCode>General</c:formatCode>
                <c:ptCount val="8"/>
                <c:pt idx="0">
                  <c:v>130</c:v>
                </c:pt>
                <c:pt idx="1">
                  <c:v>115</c:v>
                </c:pt>
                <c:pt idx="2">
                  <c:v>96</c:v>
                </c:pt>
                <c:pt idx="3">
                  <c:v>110</c:v>
                </c:pt>
                <c:pt idx="4">
                  <c:v>72</c:v>
                </c:pt>
                <c:pt idx="5">
                  <c:v>87</c:v>
                </c:pt>
                <c:pt idx="6">
                  <c:v>138</c:v>
                </c:pt>
                <c:pt idx="7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72-9848-A84C-9C5E7937F978}"/>
            </c:ext>
          </c:extLst>
        </c:ser>
        <c:ser>
          <c:idx val="1"/>
          <c:order val="1"/>
          <c:tx>
            <c:strRef>
              <c:f>Sheet4!$C$3:$C$4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Sheet4!$C$5:$C$13</c:f>
              <c:numCache>
                <c:formatCode>General</c:formatCode>
                <c:ptCount val="8"/>
                <c:pt idx="0">
                  <c:v>261</c:v>
                </c:pt>
                <c:pt idx="1">
                  <c:v>34</c:v>
                </c:pt>
                <c:pt idx="2">
                  <c:v>52</c:v>
                </c:pt>
                <c:pt idx="3">
                  <c:v>490</c:v>
                </c:pt>
                <c:pt idx="4">
                  <c:v>62</c:v>
                </c:pt>
                <c:pt idx="5">
                  <c:v>69</c:v>
                </c:pt>
                <c:pt idx="6">
                  <c:v>158</c:v>
                </c:pt>
                <c:pt idx="7">
                  <c:v>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72-9848-A84C-9C5E7937F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5290384"/>
        <c:axId val="45292112"/>
      </c:barChart>
      <c:catAx>
        <c:axId val="45290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92112"/>
        <c:crosses val="autoZero"/>
        <c:auto val="1"/>
        <c:lblAlgn val="ctr"/>
        <c:lblOffset val="100"/>
        <c:noMultiLvlLbl val="0"/>
      </c:catAx>
      <c:valAx>
        <c:axId val="4529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9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[StarterBook.xlsx]Sheet12!PivotTable5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NUMBER OF PROJECTS BY COUNTRY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1645123962545223"/>
          <c:y val="0.12832193553660465"/>
          <c:w val="0.71242258991274743"/>
          <c:h val="0.7072545269380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Sheet12!$B$3:$B$4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Sheet12!$A$5:$A$26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Sheet12!$B$5:$B$26</c:f>
              <c:numCache>
                <c:formatCode>General</c:formatCode>
                <c:ptCount val="21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ED-E64B-96AD-5647D5E9B995}"/>
            </c:ext>
          </c:extLst>
        </c:ser>
        <c:ser>
          <c:idx val="1"/>
          <c:order val="1"/>
          <c:tx>
            <c:strRef>
              <c:f>Sheet12!$C$3:$C$4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Sheet12!$A$5:$A$26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Sheet12!$C$5:$C$26</c:f>
              <c:numCache>
                <c:formatCode>General</c:formatCode>
                <c:ptCount val="21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ED-E64B-96AD-5647D5E9B995}"/>
            </c:ext>
          </c:extLst>
        </c:ser>
        <c:ser>
          <c:idx val="2"/>
          <c:order val="2"/>
          <c:tx>
            <c:strRef>
              <c:f>Sheet12!$D$3:$D$4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Sheet12!$A$5:$A$26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Sheet12!$D$5:$D$26</c:f>
              <c:numCache>
                <c:formatCode>General</c:formatCode>
                <c:ptCount val="21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ED-E64B-96AD-5647D5E9B9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49064832"/>
        <c:axId val="852056688"/>
      </c:barChart>
      <c:catAx>
        <c:axId val="849064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056688"/>
        <c:crosses val="autoZero"/>
        <c:auto val="1"/>
        <c:lblAlgn val="ctr"/>
        <c:lblOffset val="100"/>
        <c:noMultiLvlLbl val="0"/>
      </c:catAx>
      <c:valAx>
        <c:axId val="85205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 sz="1100"/>
              </a:p>
              <a:p>
                <a:pPr>
                  <a:defRPr sz="1100"/>
                </a:pPr>
                <a:r>
                  <a:rPr lang="en-US" sz="1050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06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927923494360503"/>
          <c:y val="0.41818270986022948"/>
          <c:w val="0.12239372131938528"/>
          <c:h val="0.177769392147780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[StarterBook.xlsx]Projects by months!PivotTable7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u="none"/>
              <a:t>NUMBER OF PROJECTS BY MONTHS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4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5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6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7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8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9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</c:pivotFmts>
    <c:plotArea>
      <c:layout>
        <c:manualLayout>
          <c:layoutTarget val="inner"/>
          <c:xMode val="edge"/>
          <c:yMode val="edge"/>
          <c:x val="9.9440528347981574E-2"/>
          <c:y val="0.11517082262527403"/>
          <c:w val="0.74552696246703365"/>
          <c:h val="0.73935296131461825"/>
        </c:manualLayout>
      </c:layout>
      <c:lineChart>
        <c:grouping val="standard"/>
        <c:varyColors val="0"/>
        <c:ser>
          <c:idx val="0"/>
          <c:order val="0"/>
          <c:tx>
            <c:strRef>
              <c:f>'Projects by months'!$B$4:$B$5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'Projects by months'!$A$6:$A$18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'Projects by months'!$B$6:$B$18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D3-9949-8CC4-AECF378BF3EB}"/>
            </c:ext>
          </c:extLst>
        </c:ser>
        <c:ser>
          <c:idx val="1"/>
          <c:order val="1"/>
          <c:tx>
            <c:strRef>
              <c:f>'Projects by months'!$C$4:$C$5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'Projects by months'!$A$6:$A$18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'Projects by months'!$C$6:$C$18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D3-9949-8CC4-AECF378BF3EB}"/>
            </c:ext>
          </c:extLst>
        </c:ser>
        <c:ser>
          <c:idx val="2"/>
          <c:order val="2"/>
          <c:tx>
            <c:strRef>
              <c:f>'Projects by months'!$D$4:$D$5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'Projects by months'!$A$6:$A$18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'Projects by months'!$D$6:$D$18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D3-9949-8CC4-AECF378BF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5114032"/>
        <c:axId val="755115712"/>
      </c:lineChart>
      <c:catAx>
        <c:axId val="755114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115712"/>
        <c:crosses val="autoZero"/>
        <c:auto val="1"/>
        <c:lblAlgn val="ctr"/>
        <c:lblOffset val="100"/>
        <c:noMultiLvlLbl val="0"/>
      </c:catAx>
      <c:valAx>
        <c:axId val="75511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11403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85363544213990883"/>
          <c:y val="0.21300731569137799"/>
          <c:w val="0.12917141855076697"/>
          <c:h val="0.455692527485159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[StarterBook.xlsx]Avg of pledged amount!PivotTable9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AVERAGE</a:t>
            </a:r>
            <a:r>
              <a:rPr lang="en-US" sz="1200" b="1" baseline="0"/>
              <a:t> PLEDGED AMOUNT FOR FAILURE PROJECTS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'Avg of pledged amount'!$B$4:$B$6</c:f>
              <c:strCache>
                <c:ptCount val="1"/>
                <c:pt idx="0">
                  <c:v>Sum of pledged - 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'Avg of pledged amount'!$A$7:$A$15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'Avg of pledged amount'!$B$7:$B$15</c:f>
              <c:numCache>
                <c:formatCode>General</c:formatCode>
                <c:ptCount val="8"/>
                <c:pt idx="0">
                  <c:v>337771.78</c:v>
                </c:pt>
                <c:pt idx="1">
                  <c:v>80300.510000000009</c:v>
                </c:pt>
                <c:pt idx="2">
                  <c:v>260905.32999999996</c:v>
                </c:pt>
                <c:pt idx="3">
                  <c:v>66175.320000000007</c:v>
                </c:pt>
                <c:pt idx="4">
                  <c:v>223920.31000000003</c:v>
                </c:pt>
                <c:pt idx="5">
                  <c:v>49591.25</c:v>
                </c:pt>
                <c:pt idx="6">
                  <c:v>1386682.01</c:v>
                </c:pt>
                <c:pt idx="7">
                  <c:v>433620.89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F3-1142-8314-239B85A666E9}"/>
            </c:ext>
          </c:extLst>
        </c:ser>
        <c:ser>
          <c:idx val="1"/>
          <c:order val="1"/>
          <c:tx>
            <c:strRef>
              <c:f>'Avg of pledged amount'!$C$4:$C$6</c:f>
              <c:strCache>
                <c:ptCount val="1"/>
                <c:pt idx="0">
                  <c:v>Sum of goal - 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'Avg of pledged amount'!$A$7:$A$15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'Avg of pledged amount'!$C$7:$C$15</c:f>
              <c:numCache>
                <c:formatCode>General</c:formatCode>
                <c:ptCount val="8"/>
                <c:pt idx="0">
                  <c:v>30113285</c:v>
                </c:pt>
                <c:pt idx="1">
                  <c:v>4423112</c:v>
                </c:pt>
                <c:pt idx="2">
                  <c:v>7136704</c:v>
                </c:pt>
                <c:pt idx="3">
                  <c:v>1010427</c:v>
                </c:pt>
                <c:pt idx="4">
                  <c:v>1697671</c:v>
                </c:pt>
                <c:pt idx="5">
                  <c:v>2417554</c:v>
                </c:pt>
                <c:pt idx="6">
                  <c:v>19108915</c:v>
                </c:pt>
                <c:pt idx="7">
                  <c:v>26743611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F3-1142-8314-239B85A66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9227071"/>
        <c:axId val="1809228799"/>
      </c:barChart>
      <c:catAx>
        <c:axId val="1809227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228799"/>
        <c:crosses val="autoZero"/>
        <c:auto val="1"/>
        <c:lblAlgn val="ctr"/>
        <c:lblOffset val="100"/>
        <c:noMultiLvlLbl val="0"/>
      </c:catAx>
      <c:valAx>
        <c:axId val="180922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</a:t>
                </a:r>
                <a:r>
                  <a:rPr lang="en-US" sz="1050" b="1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22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[StarterBook.xlsx]Projects by years!PivotTable4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u="none"/>
              <a:t>NUMBER</a:t>
            </a:r>
            <a:r>
              <a:rPr lang="en-US" sz="1200" b="1" u="none" baseline="0"/>
              <a:t> OF PROJECTS BY YEARS</a:t>
            </a:r>
            <a:endParaRPr lang="en-US" sz="1200" b="1" u="non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'Projects by years'!$B$4:$B$5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'Projects by years'!$A$6:$A$14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'Projects by years'!$B$6:$B$14</c:f>
              <c:numCache>
                <c:formatCode>General</c:formatCode>
                <c:ptCount val="8"/>
                <c:pt idx="0">
                  <c:v>21</c:v>
                </c:pt>
                <c:pt idx="2">
                  <c:v>4</c:v>
                </c:pt>
                <c:pt idx="3">
                  <c:v>30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93-BA48-AB91-99038CCA79E1}"/>
            </c:ext>
          </c:extLst>
        </c:ser>
        <c:ser>
          <c:idx val="1"/>
          <c:order val="1"/>
          <c:tx>
            <c:strRef>
              <c:f>'Projects by years'!$C$4:$C$5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'Projects by years'!$A$6:$A$14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'Projects by years'!$C$6:$C$14</c:f>
              <c:numCache>
                <c:formatCode>General</c:formatCode>
                <c:ptCount val="8"/>
                <c:pt idx="0">
                  <c:v>48</c:v>
                </c:pt>
                <c:pt idx="2">
                  <c:v>7</c:v>
                </c:pt>
                <c:pt idx="3">
                  <c:v>83</c:v>
                </c:pt>
                <c:pt idx="5">
                  <c:v>17</c:v>
                </c:pt>
                <c:pt idx="6">
                  <c:v>5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93-BA48-AB91-99038CCA79E1}"/>
            </c:ext>
          </c:extLst>
        </c:ser>
        <c:ser>
          <c:idx val="2"/>
          <c:order val="2"/>
          <c:tx>
            <c:strRef>
              <c:f>'Projects by years'!$D$4:$D$5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'Projects by years'!$A$6:$A$14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'Projects by years'!$D$6:$D$14</c:f>
              <c:numCache>
                <c:formatCode>General</c:formatCode>
                <c:ptCount val="8"/>
                <c:pt idx="0">
                  <c:v>55</c:v>
                </c:pt>
                <c:pt idx="2">
                  <c:v>13</c:v>
                </c:pt>
                <c:pt idx="3">
                  <c:v>155</c:v>
                </c:pt>
                <c:pt idx="5">
                  <c:v>30</c:v>
                </c:pt>
                <c:pt idx="6">
                  <c:v>15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93-BA48-AB91-99038CCA79E1}"/>
            </c:ext>
          </c:extLst>
        </c:ser>
        <c:ser>
          <c:idx val="3"/>
          <c:order val="3"/>
          <c:tx>
            <c:strRef>
              <c:f>'Projects by years'!$E$4:$E$5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'Projects by years'!$A$6:$A$14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'Projects by years'!$E$6:$E$14</c:f>
              <c:numCache>
                <c:formatCode>General</c:formatCode>
                <c:ptCount val="8"/>
                <c:pt idx="0">
                  <c:v>53</c:v>
                </c:pt>
                <c:pt idx="2">
                  <c:v>23</c:v>
                </c:pt>
                <c:pt idx="3">
                  <c:v>114</c:v>
                </c:pt>
                <c:pt idx="5">
                  <c:v>37</c:v>
                </c:pt>
                <c:pt idx="6">
                  <c:v>29</c:v>
                </c:pt>
                <c:pt idx="7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C93-BA48-AB91-99038CCA79E1}"/>
            </c:ext>
          </c:extLst>
        </c:ser>
        <c:ser>
          <c:idx val="4"/>
          <c:order val="4"/>
          <c:tx>
            <c:strRef>
              <c:f>'Projects by years'!$F$4:$F$5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'Projects by years'!$A$6:$A$14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'Projects by years'!$F$6:$F$14</c:f>
              <c:numCache>
                <c:formatCode>General</c:formatCode>
                <c:ptCount val="8"/>
                <c:pt idx="0">
                  <c:v>98</c:v>
                </c:pt>
                <c:pt idx="1">
                  <c:v>58</c:v>
                </c:pt>
                <c:pt idx="2">
                  <c:v>55</c:v>
                </c:pt>
                <c:pt idx="3">
                  <c:v>98</c:v>
                </c:pt>
                <c:pt idx="4">
                  <c:v>61</c:v>
                </c:pt>
                <c:pt idx="5">
                  <c:v>35</c:v>
                </c:pt>
                <c:pt idx="6">
                  <c:v>98</c:v>
                </c:pt>
                <c:pt idx="7">
                  <c:v>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C93-BA48-AB91-99038CCA79E1}"/>
            </c:ext>
          </c:extLst>
        </c:ser>
        <c:ser>
          <c:idx val="5"/>
          <c:order val="5"/>
          <c:tx>
            <c:strRef>
              <c:f>'Projects by years'!$G$4:$G$5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'Projects by years'!$A$6:$A$14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'Projects by years'!$G$6:$G$14</c:f>
              <c:numCache>
                <c:formatCode>General</c:formatCode>
                <c:ptCount val="8"/>
                <c:pt idx="0">
                  <c:v>122</c:v>
                </c:pt>
                <c:pt idx="1">
                  <c:v>69</c:v>
                </c:pt>
                <c:pt idx="2">
                  <c:v>43</c:v>
                </c:pt>
                <c:pt idx="3">
                  <c:v>97</c:v>
                </c:pt>
                <c:pt idx="4">
                  <c:v>81</c:v>
                </c:pt>
                <c:pt idx="5">
                  <c:v>49</c:v>
                </c:pt>
                <c:pt idx="6">
                  <c:v>127</c:v>
                </c:pt>
                <c:pt idx="7">
                  <c:v>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C93-BA48-AB91-99038CCA79E1}"/>
            </c:ext>
          </c:extLst>
        </c:ser>
        <c:ser>
          <c:idx val="6"/>
          <c:order val="6"/>
          <c:tx>
            <c:strRef>
              <c:f>'Projects by years'!$H$4:$H$5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'Projects by years'!$A$6:$A$14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'Projects by years'!$H$6:$H$14</c:f>
              <c:numCache>
                <c:formatCode>General</c:formatCode>
                <c:ptCount val="8"/>
                <c:pt idx="0">
                  <c:v>69</c:v>
                </c:pt>
                <c:pt idx="1">
                  <c:v>41</c:v>
                </c:pt>
                <c:pt idx="2">
                  <c:v>61</c:v>
                </c:pt>
                <c:pt idx="3">
                  <c:v>68</c:v>
                </c:pt>
                <c:pt idx="4">
                  <c:v>65</c:v>
                </c:pt>
                <c:pt idx="5">
                  <c:v>35</c:v>
                </c:pt>
                <c:pt idx="6">
                  <c:v>133</c:v>
                </c:pt>
                <c:pt idx="7">
                  <c:v>378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C93-BA48-AB91-99038CCA7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5227200"/>
        <c:axId val="785652048"/>
      </c:barChart>
      <c:catAx>
        <c:axId val="78522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652048"/>
        <c:crosses val="autoZero"/>
        <c:auto val="1"/>
        <c:lblAlgn val="ctr"/>
        <c:lblOffset val="100"/>
        <c:noMultiLvlLbl val="0"/>
      </c:catAx>
      <c:valAx>
        <c:axId val="78565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22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[StarterBook.xlsx]Average days!PivotTable7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AVERAGE</a:t>
            </a:r>
            <a:r>
              <a:rPr lang="en-US" sz="1200" b="1" baseline="0"/>
              <a:t> NUMBER OF DAYS FOR A PROJECT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7091927090428581E-2"/>
          <c:y val="0.12462244377726166"/>
          <c:w val="0.77015350235752467"/>
          <c:h val="0.635442127242081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'Average days'!$B$3:$B$4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'Average days'!$A$5:$A$13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'Average days'!$B$5:$B$13</c:f>
              <c:numCache>
                <c:formatCode>General</c:formatCode>
                <c:ptCount val="8"/>
                <c:pt idx="0">
                  <c:v>37.756765946502</c:v>
                </c:pt>
                <c:pt idx="1">
                  <c:v>35.397191385582104</c:v>
                </c:pt>
                <c:pt idx="2">
                  <c:v>32.966009672619045</c:v>
                </c:pt>
                <c:pt idx="3">
                  <c:v>36.180582465277759</c:v>
                </c:pt>
                <c:pt idx="4">
                  <c:v>33.900780112377419</c:v>
                </c:pt>
                <c:pt idx="5">
                  <c:v>33.559180336832831</c:v>
                </c:pt>
                <c:pt idx="6">
                  <c:v>34.932694531385756</c:v>
                </c:pt>
                <c:pt idx="7">
                  <c:v>34.770067284576662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D4-234F-A37D-3168F80E5834}"/>
            </c:ext>
          </c:extLst>
        </c:ser>
        <c:ser>
          <c:idx val="1"/>
          <c:order val="1"/>
          <c:tx>
            <c:strRef>
              <c:f>'Average days'!$C$3:$C$4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'Average days'!$A$5:$A$13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'Average days'!$C$5:$C$13</c:f>
              <c:numCache>
                <c:formatCode>General</c:formatCode>
                <c:ptCount val="8"/>
                <c:pt idx="0">
                  <c:v>33.650358641975323</c:v>
                </c:pt>
                <c:pt idx="1">
                  <c:v>29.986117578975769</c:v>
                </c:pt>
                <c:pt idx="2">
                  <c:v>26.838107928240653</c:v>
                </c:pt>
                <c:pt idx="3">
                  <c:v>33.633494534465044</c:v>
                </c:pt>
                <c:pt idx="4">
                  <c:v>32.648109492988318</c:v>
                </c:pt>
                <c:pt idx="5">
                  <c:v>33.239137152777722</c:v>
                </c:pt>
                <c:pt idx="6">
                  <c:v>35.467288786992697</c:v>
                </c:pt>
                <c:pt idx="7">
                  <c:v>29.561397565995684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D4-234F-A37D-3168F80E5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71601776"/>
        <c:axId val="935175168"/>
      </c:barChart>
      <c:catAx>
        <c:axId val="871601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Category</a:t>
                </a:r>
              </a:p>
            </c:rich>
          </c:tx>
          <c:layout>
            <c:manualLayout>
              <c:xMode val="edge"/>
              <c:yMode val="edge"/>
              <c:x val="0.35430311595665925"/>
              <c:y val="0.925057320073108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175168"/>
        <c:crosses val="autoZero"/>
        <c:auto val="1"/>
        <c:lblAlgn val="ctr"/>
        <c:lblOffset val="100"/>
        <c:noMultiLvlLbl val="0"/>
      </c:catAx>
      <c:valAx>
        <c:axId val="93517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60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Rajeswari</dc:creator>
  <cp:keywords/>
  <dc:description/>
  <cp:lastModifiedBy>Sruthi Rajeswari</cp:lastModifiedBy>
  <cp:revision>7</cp:revision>
  <dcterms:created xsi:type="dcterms:W3CDTF">2019-02-27T23:57:00Z</dcterms:created>
  <dcterms:modified xsi:type="dcterms:W3CDTF">2019-03-02T05:43:00Z</dcterms:modified>
</cp:coreProperties>
</file>