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0D5C63"/>
          <w:sz w:val="28"/>
        </w:rPr>
        <w:t>Scope and problem statement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1B3A4B"/>
          <w:sz w:val="44"/>
        </w:rPr>
        <w:t>Business Problem, Pain Points, and Scope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0"/>
        </w:rPr>
        <w:t xml:space="preserve">Engagement: </w:t>
      </w:r>
      <w:r>
        <w:rPr>
          <w:rFonts w:ascii="Calibri" w:hAnsi="Calibri" w:eastAsia="Calibri"/>
          <w:b w:val="0"/>
          <w:i w:val="0"/>
          <w:color w:val="333A40"/>
          <w:sz w:val="20"/>
        </w:rPr>
        <w:t>AI FDE ICS/OT Autonomous Risk &amp; Resilience Command Center (v2)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0"/>
        </w:rPr>
        <w:t xml:space="preserve">Document type: </w:t>
      </w:r>
      <w:r>
        <w:rPr>
          <w:rFonts w:ascii="Calibri" w:hAnsi="Calibri" w:eastAsia="Calibri"/>
          <w:b w:val="0"/>
          <w:i w:val="0"/>
          <w:color w:val="333A40"/>
          <w:sz w:val="20"/>
        </w:rPr>
        <w:t>Business problem, pain-point, and scope statement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0"/>
        </w:rPr>
        <w:t xml:space="preserve">Date: </w:t>
      </w:r>
      <w:r>
        <w:rPr>
          <w:rFonts w:ascii="Calibri" w:hAnsi="Calibri" w:eastAsia="Calibri"/>
          <w:b w:val="0"/>
          <w:i w:val="0"/>
          <w:color w:val="333A40"/>
          <w:sz w:val="20"/>
        </w:rPr>
        <w:t>11 September 2026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0"/>
        </w:rPr>
        <w:t xml:space="preserve">Basis: </w:t>
      </w:r>
      <w:r>
        <w:rPr>
          <w:rFonts w:ascii="Calibri" w:hAnsi="Calibri" w:eastAsia="Calibri"/>
          <w:b w:val="0"/>
          <w:i w:val="0"/>
          <w:color w:val="333A40"/>
          <w:sz w:val="20"/>
        </w:rPr>
        <w:t>Repository challenge brief, domain docs, safety/assurance constraints, discovery checklist, seeded diagnostics, and engagement rules. All names and records in the estate are synthetic.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</w:r>
    </w:p>
    <w:p>
      <w:pPr>
        <w:pStyle w:val="Heading1"/>
      </w:pPr>
      <w:r>
        <w:rPr>
          <w:rFonts w:ascii="Calibri" w:hAnsi="Calibri"/>
          <w:color w:val="1B3A4B"/>
        </w:rPr>
        <w:t>1. The business problem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Leadership wants a global autonomous risk and resilience command center for a multinational ICS/OT program: 18 plants across five regions, mixed-generation PLC/DCS/SCADA/HMI/historians, SIS, CMMS/EAM, SOC/SIEM, IAM/PAM, and vendor remote access.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The business problem is not “we lack another dashboard.” The estate already produces many dashboards. The problem is that no system holds a trusted cyber-physical truth.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Current systems disagree about: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>What assets exist</w:t>
      </w:r>
      <w:r>
        <w:rPr>
          <w:rFonts w:ascii="Calibri" w:hAnsi="Calibri" w:eastAsia="Calibri"/>
          <w:b w:val="0"/>
          <w:i w:val="0"/>
          <w:color w:val="333A40"/>
          <w:sz w:val="22"/>
        </w:rPr>
        <w:t xml:space="preserve"> — official inventories, aliases, shadow spreadsheets, and field discovery do not reconcile.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>What state those assets are in</w:t>
      </w:r>
      <w:r>
        <w:rPr>
          <w:rFonts w:ascii="Calibri" w:hAnsi="Calibri" w:eastAsia="Calibri"/>
          <w:b w:val="0"/>
          <w:i w:val="0"/>
          <w:color w:val="333A40"/>
          <w:sz w:val="22"/>
        </w:rPr>
        <w:t xml:space="preserve"> — registered/CMDB state, observed/telemetry state, CMMS/work-order state, and operator interpretation diverge.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>How cyber findings map to physical consequence</w:t>
      </w:r>
      <w:r>
        <w:rPr>
          <w:rFonts w:ascii="Calibri" w:hAnsi="Calibri" w:eastAsia="Calibri"/>
          <w:b w:val="0"/>
          <w:i w:val="0"/>
          <w:color w:val="333A40"/>
          <w:sz w:val="22"/>
        </w:rPr>
        <w:t xml:space="preserve"> — vulnerability severity is not reliably tied to reachability, process criticality, safety barriers, or recovery capability.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>Which safety barriers are actually active</w:t>
      </w:r>
      <w:r>
        <w:rPr>
          <w:rFonts w:ascii="Calibri" w:hAnsi="Calibri" w:eastAsia="Calibri"/>
          <w:b w:val="0"/>
          <w:i w:val="0"/>
          <w:color w:val="333A40"/>
          <w:sz w:val="22"/>
        </w:rPr>
        <w:t xml:space="preserve"> — SIS, alarms, trips, and interlocks may be bypassed, degraded, or overdue for proof test while security still treats them as healthy.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>Whether recovery plans are executable</w:t>
      </w:r>
      <w:r>
        <w:rPr>
          <w:rFonts w:ascii="Calibri" w:hAnsi="Calibri" w:eastAsia="Calibri"/>
          <w:b w:val="0"/>
          <w:i w:val="0"/>
          <w:color w:val="333A40"/>
          <w:sz w:val="22"/>
        </w:rPr>
        <w:t xml:space="preserve"> — a backup flag of CURRENT is treated as readiness even when restore tests, runbooks, or dependencies are stale or missing.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The core forensic tension the business cannot currently resolve is:</w:t>
      </w:r>
    </w:p>
    <w:p>
      <w:pPr>
        <w:spacing w:after="200"/>
        <w:ind w:left="432"/>
      </w:pPr>
      <w:r>
        <w:rPr>
          <w:rFonts w:ascii="Calibri" w:hAnsi="Calibri" w:eastAsia="Calibri"/>
          <w:b/>
          <w:i/>
          <w:color w:val="0D5C63"/>
          <w:sz w:val="24"/>
        </w:rPr>
        <w:t>Cyber state ≠ Operational state ≠ Safety state ≠ Resilience state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That gap has a direct business cost. The company cannot reliably answer, at global command-center speed: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Which finding actually threatens production, safety, or continuity — versus which finding is a high CVSS on a low-criticality, unreachable asset?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Which response is safe — versus which SOC-recommended isolation would destabilize a unit?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Who has authority to act — versus who can only observe, ticket, or recommend?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Can we recover this site if containment or outage happens — or is that an untested assumption?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The goal of the engagement is not to automate plant control. </w:t>
      </w:r>
      <w:r>
        <w:rPr>
          <w:rFonts w:ascii="Calibri" w:hAnsi="Calibri" w:eastAsia="Calibri"/>
          <w:b w:val="0"/>
          <w:i w:val="0"/>
          <w:color w:val="333A40"/>
          <w:sz w:val="22"/>
        </w:rPr>
        <w:t>The goal is to establish trustworthy cyber-physical situational awareness, contextual risk (not CVSS-only), resilience decisions grounded in restore/runbook/dependency evidence, and governed action recommendations bounded by policy, safety, and human authority.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Until that exists, “autonomy” would only accelerate the wrong recommendation.</w:t>
      </w:r>
    </w:p>
    <w:p>
      <w:pPr>
        <w:pStyle w:val="Heading1"/>
      </w:pPr>
      <w:r>
        <w:rPr>
          <w:rFonts w:ascii="Calibri" w:hAnsi="Calibri"/>
          <w:color w:val="1B3A4B"/>
        </w:rPr>
        <w:t>2. Pain points overall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Pain is not concentrated in one tool. It is structural: imperfection, inconsistency, friction, complexity, volatility, uncertainty, hidden dependency, and unknown unknowns across twelve layers (L1–L12). The points below are the ones the business feels.</w:t>
      </w:r>
    </w:p>
    <w:p>
      <w:pPr>
        <w:pStyle w:val="Heading2"/>
      </w:pPr>
      <w:r>
        <w:rPr>
          <w:rFonts w:ascii="Calibri" w:hAnsi="Calibri"/>
          <w:color w:val="0D5C63"/>
        </w:rPr>
        <w:t>2.1 No single source of operational truth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CMDB, passive discovery, historian, SCADA, CMMS, SIEM, and operator notes are each treated as authoritative by name, but they conflict.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200 assets are registered ACTIVE while observed as OFFLINE or UNSEEN.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5 alias collisions mean the same name can point to more than one asset.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A shadow spreadsheet can be newer than the official inventory; shift handover notes already say the spreadsheet is newer than CMDB for a new gateway.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v1 and v2 asset APIs use different field names, so even “the asset API” is not one contract.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leadership cannot trust the command-center picture of what is on the plant floor.</w:t>
      </w:r>
    </w:p>
    <w:p>
      <w:pPr>
        <w:pStyle w:val="Heading2"/>
      </w:pPr>
      <w:r>
        <w:rPr>
          <w:rFonts w:ascii="Calibri" w:hAnsi="Calibri"/>
          <w:color w:val="0D5C63"/>
        </w:rPr>
        <w:t>2.2 Telemetry cannot be taken at face value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4,094 telemetry records are BAD or UNCERTAIN.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120 duplicate packets and 47 temperature unit mismatches exist in the seeded historian-style feed.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Event time and ingest/received time can diverge; sorting only on received time reconstructs the wrong order.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Shadow handover evidence: historian pressure looked flat for ~20 minutes while the HMI moved.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alerts and trends can be late, duplicated, unit-wrong, or contradicted by the operator screen. Decisions made on raw tags will be wrong.</w:t>
      </w:r>
    </w:p>
    <w:p>
      <w:pPr>
        <w:pStyle w:val="Heading2"/>
      </w:pPr>
      <w:r>
        <w:rPr>
          <w:rFonts w:ascii="Calibri" w:hAnsi="Calibri"/>
          <w:color w:val="0D5C63"/>
        </w:rPr>
        <w:t>2.3 Cyber risk is scored without operational context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Legacy ranking sorts findings by CVSS alone.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A 9.8 on a low-criticality, unreachable asset outranks a 6.5 on a critical, reachable asset.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1,100 vulnerability findings and 2,800 cyber alerts exist without a proven map to process unit, safety consequence, compensating control, or recovery capability.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Risk-acceptance trackers show DEFER/ACCEPT decisions with thin rationale (“vendor patch pending,” “shutdown unavailable,” “compensating controls assumed”).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the SOC and the plant argue past each other. Patch and escalation queues are driven by score, not by what can actually hurt production or people.</w:t>
      </w:r>
    </w:p>
    <w:p>
      <w:pPr>
        <w:pStyle w:val="Heading2"/>
      </w:pPr>
      <w:r>
        <w:rPr>
          <w:rFonts w:ascii="Calibri" w:hAnsi="Calibri"/>
          <w:color w:val="0D5C63"/>
        </w:rPr>
        <w:t>2.4 Safety and security can recommend opposite actions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61 safety barriers are bypassed or degraded; 73 are overdue for proof test.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Legacy logic recommends ISOLATE on HIGH/CRITICAL alerts with no safe-state check.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Cascade case: SOC wants immediate isolation; process engineering warns the unit is near minimum stable load; a related safety barrier is already bypassed.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Shift notes repeat the same warning: do not isolate the controller without process engineering review.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a “fast” security response can become a process or safety incident. The command center has no agreed way to hold both truths at once.</w:t>
      </w:r>
    </w:p>
    <w:p>
      <w:pPr>
        <w:pStyle w:val="Heading2"/>
      </w:pPr>
      <w:r>
        <w:rPr>
          <w:rFonts w:ascii="Calibri" w:hAnsi="Calibri"/>
          <w:color w:val="0D5C63"/>
        </w:rPr>
        <w:t>2.5 Operations and maintenance truth is split from the field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244 work orders are CLOSED in CMMS while field status is not RETURNED_TO_SERVICE.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Temporary bypasses, contractor activity, and vendor firmware work appear in handover notes before tickets are updated.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Night-shift reality is not visible on the enterprise dashboard.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planners close risk on paper while the plant is still in a temporary or degraded condition.</w:t>
      </w:r>
    </w:p>
    <w:p>
      <w:pPr>
        <w:pStyle w:val="Heading2"/>
      </w:pPr>
      <w:r>
        <w:rPr>
          <w:rFonts w:ascii="Calibri" w:hAnsi="Calibri"/>
          <w:color w:val="0D5C63"/>
        </w:rPr>
        <w:t>2.6 Remote access and undocumented paths expand the attack and error surface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779 network paths were observed in the last 24 hours but are not documented.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137 remote sessions are outside an approved window; 128 lack confirmed MFA.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Vendor VPNs, service laptops, jump hosts, and informal access sit beside the documented Purdue-like architecture.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the company cannot say who is on the network, whether that session is approved, or which path an incident would actually travel.</w:t>
      </w:r>
    </w:p>
    <w:p>
      <w:pPr>
        <w:pStyle w:val="Heading2"/>
      </w:pPr>
      <w:r>
        <w:rPr>
          <w:rFonts w:ascii="Calibri" w:hAnsi="Calibri"/>
          <w:color w:val="0D5C63"/>
        </w:rPr>
        <w:t>2.7 Resilience is assumed, not proven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Legacy recovery logic treats backup_status == CURRENT as “ready.”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Seeded gaps: 25 stale/unknown backups, 29 unverified recovery dependencies, 35 stale or missing runbooks.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Inject 06 is a restore failure during a recovery drill — the exact failure mode the flag-based check cannot see.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continuity and DR statements overstate readiness. A regional SCADA outage or containment action may have no tested path back.</w:t>
      </w:r>
    </w:p>
    <w:p>
      <w:pPr>
        <w:pStyle w:val="Heading2"/>
      </w:pPr>
      <w:r>
        <w:rPr>
          <w:rFonts w:ascii="Calibri" w:hAnsi="Calibri"/>
          <w:color w:val="0D5C63"/>
        </w:rPr>
        <w:t>2.8 Decision overload with weak authority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Alert volume is high relative to actionable, evidence-backed incidents.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There is no enforced separation of observe / recommend / reversible change / consequential change / forbidden control write.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Authority is fragmented across SOC, operations, process engineering, safety, vendors, and business units.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There are no eval gates required before autonomy is switched on.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Business effect: more automation would scale noise and unsafe recommendations. Humans still do not know which decisions they must own.</w:t>
      </w:r>
    </w:p>
    <w:p>
      <w:pPr>
        <w:pStyle w:val="Heading2"/>
      </w:pPr>
      <w:r>
        <w:rPr>
          <w:rFonts w:ascii="Calibri" w:hAnsi="Calibri"/>
          <w:color w:val="0D5C63"/>
        </w:rPr>
        <w:t>2.9 Pain-point summary by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hurts the business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L1 Software / logic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Hard-coded risk rules and weak tests encode the wrong decision policy.</w:t>
            </w:r>
          </w:p>
        </w:tc>
      </w:tr>
      <w:tr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L2 OT systems / protocols</w:t>
            </w:r>
          </w:p>
        </w:tc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Mixed generations and interface drift make one estate view unreliable.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L3 Data / telemetry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Bad, stale, duplicate, and unit-wrong tags undermine every downstream decision.</w:t>
            </w:r>
          </w:p>
        </w:tc>
      </w:tr>
      <w:tr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L4 Asset / configuration</w:t>
            </w:r>
          </w:p>
        </w:tc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Competing identities and undocumented devices hide real exposure.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L5 Process / control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Cyber findings are not traced to unit dependencies or safe-state constraints.</w:t>
            </w:r>
          </w:p>
        </w:tc>
      </w:tr>
      <w:tr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L6 Cyber risk</w:t>
            </w:r>
          </w:p>
        </w:tc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Severity is disconnected from reachability, criticality, safety, and recovery.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L7 Safety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Bypasses and overdue proof tests collide with security isolation pressure.</w:t>
            </w:r>
          </w:p>
        </w:tc>
      </w:tr>
      <w:tr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L8 Operations / maintenance</w:t>
            </w:r>
          </w:p>
        </w:tc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CMMS “closed” does not mean the field is restored.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L9 Enterprise / IT-OT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SOC, CMMS, IAM, vendors, and ERP each hold only partial truth.</w:t>
            </w:r>
          </w:p>
        </w:tc>
      </w:tr>
      <w:tr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L10 Resilience</w:t>
            </w:r>
          </w:p>
        </w:tc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Backups, runbooks, and restore tests are not a verified recovery graph.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L11 Decision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Alert overload and CVSS ranking hide the few incidents that matter.</w:t>
            </w:r>
          </w:p>
        </w:tc>
      </w:tr>
      <w:tr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L12 Autonomy / assurance</w:t>
            </w:r>
          </w:p>
        </w:tc>
        <w:tc>
          <w:tcPr>
            <w:tcW w:type="dxa" w:w="468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No bounded authority, TEVV, or audit model exists for consequential AI.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3. In scope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In-scope work is brownfield discovery and modernization design against the synthetic estate, then bounded recommendation capability. It is evidence-first. It is not a greenfield rewrite and not live plant control.</w:t>
      </w:r>
    </w:p>
    <w:p>
      <w:pPr>
        <w:pStyle w:val="Heading2"/>
      </w:pPr>
      <w:r>
        <w:rPr>
          <w:rFonts w:ascii="Calibri" w:hAnsi="Calibri"/>
          <w:color w:val="0D5C63"/>
        </w:rPr>
        <w:t>3.1 Discovery and current-state forensics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Treat this as a production brownfield engagement: preserve evidence before changing behavior.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Map current-state architecture, including documented and undocumented paths.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Reconcile asset identity across CMDB-like, passive, CMMS, alias, and shadow sources.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Separate observed state, registered state, operational interpretation, safety state, and decision authority.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Quantify telemetry quality: duplicates, unit mismatches, stale/uncertain data, temporal anomalies.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Build a process/asset dependency view and trace assets to process units and downstream business consequence.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Compare cyber severity with process criticality, reachability, compensating controls, safety, and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Find safety barriers that are bypassed, degraded, or overdue for proof test.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Compare CMMS status with field/observed status.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Identify unapproved remote access and weak MFA evidence.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Quantify backup, runbook, and restore-test weakness.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Find cases where isolation would be operationally unsafe.</w:t>
      </w:r>
    </w:p>
    <w:p>
      <w:pPr>
        <w:pStyle w:val="Heading2"/>
      </w:pPr>
      <w:r>
        <w:rPr>
          <w:rFonts w:ascii="Calibri" w:hAnsi="Calibri"/>
          <w:color w:val="0D5C63"/>
        </w:rPr>
        <w:t>3.2 Decision and target-state design (still bounded)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Contextual risk model that can outrank a high CVSS when process/safety/recovery context says so.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Safety/security conflict handling (SOC isolation vs process-safe operation).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Resilience/recovery graph (backup ≠ restore-tested ≠ runbook-complete ≠ dependency-verified).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Target architecture options only where evidence shows they fix a real gap.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Bounded-autonomy model with human authority for consequential actions.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Evaluation / TEVV strategy and eval gates before agentic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KPI before/after model (inventory disagreement, telemetry quality, time to contextualize an OT alert, safety-bypass aging, restore-test freshness, false-positive escalation, evidence completeness, approval latency, AI cost per incident).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90-day roadmap and executive defense.</w:t>
      </w:r>
    </w:p>
    <w:p>
      <w:pPr>
        <w:pStyle w:val="Heading2"/>
      </w:pPr>
      <w:r>
        <w:rPr>
          <w:rFonts w:ascii="Calibri" w:hAnsi="Calibri"/>
          <w:color w:val="0D5C63"/>
        </w:rPr>
        <w:t>3.3 Allowed system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312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Examples</w:t>
            </w:r>
          </w:p>
        </w:tc>
        <w:tc>
          <w:tcPr>
            <w:tcW w:type="dxa" w:w="312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 scope?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Autonomous / always allowed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Collect, correlate, enrich, summarize, rank evidence, read-only simulation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Yes</w:t>
            </w:r>
          </w:p>
        </w:tc>
      </w:tr>
      <w:tr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Policy-controlled, reversible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Request fresh telemetry, open a ticket, increase logging, capture evidence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Design in scope; not live OT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Human-authorized consequential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Network isolation, remote-access change, firewall change, maintenance-mode transition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Recommendation + authority model in scope; execution is human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D5C63"/>
        </w:rPr>
        <w:t>3.4 Participant / program deliverables that are in scope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Current-state map; top L1–L12 imperfections; asset identity reconciliation; telemetry quality findings; process/asset dependency model; contextual risk model; safety/security conflict handling; resilience/recovery graph; target architecture; bounded-autonomy model; TEVV strategy; KPI before/after; 90-day roadmap; executive defense.</w:t>
      </w:r>
    </w:p>
    <w:p>
      <w:pPr>
        <w:pStyle w:val="Heading2"/>
      </w:pPr>
      <w:r>
        <w:rPr>
          <w:rFonts w:ascii="Calibri" w:hAnsi="Calibri"/>
          <w:color w:val="0D5C63"/>
        </w:rPr>
        <w:t>3.5 Suggested investigation path (in scope order)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333A40"/>
          <w:sz w:val="22"/>
        </w:rPr>
        <w:t>inventory → topology → asset identity → telemetry quality → process dependencies → cyber/safety context → recovery dependencies → decision/authority model → evals → intervention</w:t>
      </w:r>
    </w:p>
    <w:p>
      <w:pPr>
        <w:pStyle w:val="Heading1"/>
      </w:pPr>
      <w:r>
        <w:rPr>
          <w:rFonts w:ascii="Calibri" w:hAnsi="Calibri"/>
          <w:color w:val="1B3A4B"/>
        </w:rPr>
        <w:t>4. Out of scope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Out-of-scope items are either unsafe, unauthorized, explicitly forbidden by the engagement, or not justified until evidence exists.</w:t>
      </w:r>
    </w:p>
    <w:p>
      <w:pPr>
        <w:pStyle w:val="Heading2"/>
      </w:pPr>
      <w:r>
        <w:rPr>
          <w:rFonts w:ascii="Calibri" w:hAnsi="Calibri"/>
          <w:color w:val="0D5C63"/>
        </w:rPr>
        <w:t>4.1 Control, safety, and live OT — do not do these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Connect to real OT systems or real industrial equipment.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PLC logic writes, setpoint changes, or any live controller write.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SIS modifications, interlock bypass, trip suppression.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Unsafe restart or unsafe isolation as an automated or unreviewed action.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Automatic isolation solely because an alert is HIGH or CRITICAL.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Code or agents that perform network blocking or real control actions.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These are out of scope for this repository and are generally highly restricted in any real implementation.</w:t>
      </w:r>
    </w:p>
    <w:p>
      <w:pPr>
        <w:pStyle w:val="Heading2"/>
      </w:pPr>
      <w:r>
        <w:rPr>
          <w:rFonts w:ascii="Calibri" w:hAnsi="Calibri"/>
          <w:color w:val="0D5C63"/>
        </w:rPr>
        <w:t>4.2 Engagement and method — do not do these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Greenfield rewrite of the estate “to clean it up.”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Silently cleaning intentional data inconsistencies (they are evidence, not dirt).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Treating CMDB, passive discovery, historian, SCADA, CMMS, SIEM, or operator notes as authoritative by name alone.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Ranking risk by CVSS alone.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Declaring recovery ready because a backup flag is CURRENT.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Using restricted_answer_key/ unless explicitly authorized.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Introducing agentic automation before tests/evals exist.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Consequential target-state action that is not bounded by policy, safety constraints, and human authority.</w:t>
      </w:r>
    </w:p>
    <w:p>
      <w:pPr>
        <w:pStyle w:val="Heading2"/>
      </w:pPr>
      <w:r>
        <w:rPr>
          <w:rFonts w:ascii="Calibri" w:hAnsi="Calibri"/>
          <w:color w:val="0D5C63"/>
        </w:rPr>
        <w:t>4.3 Technology assumptions that are out of scope unless evidence justifies them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Knowledge graph, digital twin, RAG, and agents are intervention options, not mandatory technologies. They are out of scope as default architecture. Use them only when evidence shows they solve a real identity, temporal, safety, recovery, or authority problem.</w:t>
      </w:r>
    </w:p>
    <w:p>
      <w:pPr>
        <w:pStyle w:val="Heading2"/>
      </w:pPr>
      <w:r>
        <w:rPr>
          <w:rFonts w:ascii="Calibri" w:hAnsi="Calibri"/>
          <w:color w:val="0D5C63"/>
        </w:rPr>
        <w:t>4.4 Recommendation quality bars that put a design out of scope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33A40"/>
          <w:sz w:val="22"/>
        </w:rPr>
        <w:t>A recommendation is out of scope if it does not expose: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evidence and source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freshness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uncertainty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process impact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safety impact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rollback considerations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333A40"/>
          <w:sz w:val="22"/>
        </w:rPr>
        <w:t>required authority</w:t>
      </w:r>
    </w:p>
    <w:p>
      <w:pPr>
        <w:pStyle w:val="Heading1"/>
      </w:pPr>
      <w:r>
        <w:rPr>
          <w:rFonts w:ascii="Calibri" w:hAnsi="Calibri"/>
          <w:color w:val="1B3A4B"/>
        </w:rPr>
        <w:t>5. Scope boundary in one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12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 scope</w:t>
            </w:r>
          </w:p>
        </w:tc>
        <w:tc>
          <w:tcPr>
            <w:tcW w:type="dxa" w:w="3120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What is broken in the inherited estate?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Forensics across L1–L12 using synthetic data and conflicting sources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Assuming one system is the truth</w:t>
            </w:r>
          </w:p>
        </w:tc>
      </w:tr>
      <w:tr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What should the command center do first?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Situational awareness, contextual risk, governed recommendations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Automating plant control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How should risk be ranked?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Reachability + criticality + safety + controls + recovery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CVSS-only</w:t>
            </w:r>
          </w:p>
        </w:tc>
      </w:tr>
      <w:tr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How should containment be handled?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Safety-aware recommendation with human authority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Auto-isolate / PLC isolation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How should recovery be judged?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Restore test, runbook, dependencies, manual fallback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Backup exists therefore recoverable</w:t>
            </w:r>
          </w:p>
        </w:tc>
      </w:tr>
      <w:tr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What may software do alone?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Collect, correlate, summarize, rank, read-only simulate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Writes, SIS changes, bypasses, live isolation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What AI is allowed?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Bounded, evaluated, auditable decision support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Unbounded agents or control-loop AI</w:t>
            </w:r>
          </w:p>
        </w:tc>
      </w:tr>
      <w:tr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What architecture is required?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Whatever evidence justifies</w:t>
            </w:r>
          </w:p>
        </w:tc>
        <w:tc>
          <w:tcPr>
            <w:tcW w:type="dxa" w:w="3120"/>
            <w:shd w:fill="E8EE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KG / twin / RAG / agents by default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What environment is this?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Local synthetic simulation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3A40"/>
                <w:sz w:val="18"/>
              </w:rPr>
              <w:t>Real plants, real credentials, real controllers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6. What we need to consider when working the problem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Highest CVSS is not highest operational risk. </w:t>
      </w:r>
      <w:r>
        <w:rPr>
          <w:rFonts w:ascii="Calibri" w:hAnsi="Calibri" w:eastAsia="Calibri"/>
          <w:b w:val="0"/>
          <w:i w:val="0"/>
          <w:color w:val="333A40"/>
          <w:sz w:val="22"/>
        </w:rPr>
        <w:t>Always ask reachability, process criticality, safety barrier state, compensating controls, and recovery capability.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Do not collapse five truths into one status field. </w:t>
      </w:r>
      <w:r>
        <w:rPr>
          <w:rFonts w:ascii="Calibri" w:hAnsi="Calibri" w:eastAsia="Calibri"/>
          <w:b w:val="0"/>
          <w:i w:val="0"/>
          <w:color w:val="333A40"/>
          <w:sz w:val="22"/>
        </w:rPr>
        <w:t>Observed, registered, operational, safety, and authority states must stay distinct.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Security response can create a safety or production incident. </w:t>
      </w:r>
      <w:r>
        <w:rPr>
          <w:rFonts w:ascii="Calibri" w:hAnsi="Calibri" w:eastAsia="Calibri"/>
          <w:b w:val="0"/>
          <w:i w:val="0"/>
          <w:color w:val="333A40"/>
          <w:sz w:val="22"/>
        </w:rPr>
        <w:t>Isolation is a consequential act, not a default playbook.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Preserve contradictions. </w:t>
      </w:r>
      <w:r>
        <w:rPr>
          <w:rFonts w:ascii="Calibri" w:hAnsi="Calibri" w:eastAsia="Calibri"/>
          <w:b w:val="0"/>
          <w:i w:val="0"/>
          <w:color w:val="333A40"/>
          <w:sz w:val="22"/>
        </w:rPr>
        <w:t>Cleaning the dataset removes the problem the engagement is meant to solve.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Prove recovery; do not infer it. </w:t>
      </w:r>
      <w:r>
        <w:rPr>
          <w:rFonts w:ascii="Calibri" w:hAnsi="Calibri" w:eastAsia="Calibri"/>
          <w:b w:val="0"/>
          <w:i w:val="0"/>
          <w:color w:val="333A40"/>
          <w:sz w:val="22"/>
        </w:rPr>
        <w:t>Backup, restore-test freshness, runbook, and dependency verification are separate facts.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Authority before autonomy. </w:t>
      </w:r>
      <w:r>
        <w:rPr>
          <w:rFonts w:ascii="Calibri" w:hAnsi="Calibri" w:eastAsia="Calibri"/>
          <w:b w:val="0"/>
          <w:i w:val="0"/>
          <w:color w:val="333A40"/>
          <w:sz w:val="22"/>
        </w:rPr>
        <w:t>Eval gates come before agents.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Every recommendation needs an owner. </w:t>
      </w:r>
      <w:r>
        <w:rPr>
          <w:rFonts w:ascii="Calibri" w:hAnsi="Calibri" w:eastAsia="Calibri"/>
          <w:b w:val="0"/>
          <w:i w:val="0"/>
          <w:color w:val="333A40"/>
          <w:sz w:val="22"/>
        </w:rPr>
        <w:t>Isolation, remote-access change, firewall change, or maintenance-mode require human authorization.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Measure before modernizing. </w:t>
      </w:r>
      <w:r>
        <w:rPr>
          <w:rFonts w:ascii="Calibri" w:hAnsi="Calibri" w:eastAsia="Calibri"/>
          <w:b w:val="0"/>
          <w:i w:val="0"/>
          <w:color w:val="333A40"/>
          <w:sz w:val="22"/>
        </w:rPr>
        <w:t>Baseline KPIs so the 90-day roadmap is judged on disagreement rate, quality, time-to-confidence, and unsafe-recommendation avoidance — not dashboard count.</w:t>
      </w:r>
    </w:p>
    <w:p>
      <w:pPr>
        <w:pStyle w:val="Heading1"/>
      </w:pPr>
      <w:r>
        <w:rPr>
          <w:rFonts w:ascii="Calibri" w:hAnsi="Calibri"/>
          <w:color w:val="1B3A4B"/>
        </w:rPr>
        <w:t>7. Bottom line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Business problem: </w:t>
      </w:r>
      <w:r>
        <w:rPr>
          <w:rFonts w:ascii="Calibri" w:hAnsi="Calibri" w:eastAsia="Calibri"/>
          <w:b w:val="0"/>
          <w:i w:val="0"/>
          <w:color w:val="333A40"/>
          <w:sz w:val="22"/>
        </w:rPr>
        <w:t>the company wants a global risk and resilience command center, but it cannot trust what it sees, cannot map cyber to process and safety consequence, and cannot prove it can recover — so it cannot safely automate decisions.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Pain: </w:t>
      </w:r>
      <w:r>
        <w:rPr>
          <w:rFonts w:ascii="Calibri" w:hAnsi="Calibri" w:eastAsia="Calibri"/>
          <w:b w:val="0"/>
          <w:i w:val="0"/>
          <w:color w:val="333A40"/>
          <w:sz w:val="22"/>
        </w:rPr>
        <w:t>conflicting inventories, dirty telemetry, CVSS-blind risk, safety/security collision, CMMS/field split, undocumented access, untested recovery, and fragmented authority.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In scope: </w:t>
      </w:r>
      <w:r>
        <w:rPr>
          <w:rFonts w:ascii="Calibri" w:hAnsi="Calibri" w:eastAsia="Calibri"/>
          <w:b w:val="0"/>
          <w:i w:val="0"/>
          <w:color w:val="333A40"/>
          <w:sz w:val="22"/>
        </w:rPr>
        <w:t>brownfield forensics, contextual risk, safety-aware and recovery-aware decision design, bounded recommendations, TEVV, KPIs, and a 90-day governed roadmap.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33A40"/>
          <w:sz w:val="22"/>
        </w:rPr>
        <w:t xml:space="preserve">Out of scope: </w:t>
      </w:r>
      <w:r>
        <w:rPr>
          <w:rFonts w:ascii="Calibri" w:hAnsi="Calibri" w:eastAsia="Calibri"/>
          <w:b w:val="0"/>
          <w:i w:val="0"/>
          <w:color w:val="333A40"/>
          <w:sz w:val="22"/>
        </w:rPr>
        <w:t>live OT connection, controller/SIS/interlock writes, automatic isolation, CVSS-only ranking, backup-as-recovery, silent data cleanup, unrestricted answer keys, and AI architecture chosen without evidence.</w:t>
      </w:r>
    </w:p>
    <w:p>
      <w:pPr>
        <w:spacing w:before="320"/>
      </w:pPr>
      <w:r>
        <w:rPr>
          <w:rFonts w:ascii="Calibri" w:hAnsi="Calibri" w:eastAsia="Calibri"/>
          <w:b w:val="0"/>
          <w:i/>
          <w:color w:val="555E64"/>
          <w:sz w:val="18"/>
        </w:rPr>
        <w:t>This statement does not recommend live controller writes, SIS changes, interlock bypasses, or unsafe isolation. All counts cited are from the synthetic v2 verification/diagnostics evidence in the repository.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