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LEVEL AGREEMENT</w:t>
      </w:r>
    </w:p>
    <w:p>
      <w:r>
        <w:t>Liability Cap. Total aggregate liability shall not exceed 12 months of Fees.</w:t>
      </w:r>
    </w:p>
    <w:p>
      <w:r>
        <w:t>Basket. Claims under $5,000 are excluded (de minimis).</w:t>
      </w:r>
    </w:p>
    <w:p>
      <w:r>
        <w:t>Cure. Party has 30 days to cure a material breach after written notice.</w:t>
      </w:r>
    </w:p>
    <w:p>
      <w:r>
        <w:t>Credits. Monthly service credits up to 10% of Fees.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