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8.png" ContentType="image/png"/>
  <Override PartName="/word/media/rId24.png" ContentType="image/png"/>
  <Override PartName="/word/media/rId56.png" ContentType="image/png"/>
  <Override PartName="/word/media/rId44.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 Analysis of the Metrics Used in the 2025 Budget Reduction Proposal</w:t>
      </w:r>
    </w:p>
    <w:p>
      <w:pPr>
        <w:pStyle w:val="FirstParagraph"/>
      </w:pPr>
      <w:r>
        <w:t xml:space="preserve">This document contains a reorganized version of the code book provided to departments.</w:t>
      </w:r>
      <w:r>
        <w:t xml:space="preserve"> </w:t>
      </w:r>
      <w:r>
        <w:t xml:space="preserve">The code book describes how the various measures used to evaluate departments were assembled and calculated.</w:t>
      </w:r>
      <w:r>
        <w:t xml:space="preserve"> </w:t>
      </w:r>
      <w:r>
        <w:t xml:space="preserve">Measure definitions have been rearranged to form coherent categories (the</w:t>
      </w:r>
      <w:r>
        <w:t xml:space="preserve"> </w:t>
      </w:r>
      <w:hyperlink r:id="rId20">
        <w:r>
          <w:rPr>
            <w:rStyle w:val="Hyperlink"/>
          </w:rPr>
          <w:t xml:space="preserve">original document</w:t>
        </w:r>
      </w:hyperlink>
      <w:r>
        <w:t xml:space="preserve"> </w:t>
      </w:r>
      <w:r>
        <w:t xml:space="preserve">is difficult to follow in part because derivative measures are sometimes not close to their inputs).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Comments on the validity of various measures are contained in highlighted blocks to differentiate them from the official metric definitions.</w:t>
            </w:r>
            <w:r>
              <w:t xml:space="preserve"> </w:t>
            </w:r>
            <w:r>
              <w:t xml:space="preserve">In most cases, these comments are focused on the problems discovered by the Statistics department, however, it seems likely that most issues cut across many departments.</w:t>
            </w:r>
          </w:p>
        </w:tc>
      </w:tr>
    </w:tbl>
    <w:bookmarkStart w:id="35" w:name="general-descriptors"/>
    <w:p>
      <w:pPr>
        <w:pStyle w:val="Heading1"/>
      </w:pPr>
      <w:r>
        <w:t xml:space="preserve">1. General Descriptors</w:t>
      </w:r>
    </w:p>
    <w:bookmarkStart w:id="21" w:name="identifiers"/>
    <w:p>
      <w:pPr>
        <w:pStyle w:val="Heading2"/>
      </w:pPr>
      <w:r>
        <w:t xml:space="preserve">1.1 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1"/>
    <w:bookmarkStart w:id="22" w:name="budget"/>
    <w:p>
      <w:pPr>
        <w:pStyle w:val="Heading2"/>
      </w:pPr>
      <w:r>
        <w:t xml:space="preserve">1.2 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2"/>
    <w:bookmarkStart w:id="34" w:name="appointments-headcount"/>
    <w:p>
      <w:pPr>
        <w:pStyle w:val="Heading2"/>
      </w:pPr>
      <w:r>
        <w:t xml:space="preserve">1.3 Appointments &amp; Headcount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Apportionment problem: Partial-year data not included</w:t>
            </w:r>
          </w:p>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Headcount problem: Lack of Public Data Confirmation</w:t>
            </w:r>
          </w:p>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23">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27" w:name="fig-salary-sources"/>
                <w:p>
                  <w:pPr>
                    <w:pStyle w:val="Compact"/>
                    <w:jc w:val="center"/>
                  </w:pPr>
                  <w:r>
                    <w:drawing>
                      <wp:inline>
                        <wp:extent cx="5334000" cy="366227"/>
                        <wp:effectExtent b="0" l="0" r="0" t="0"/>
                        <wp:docPr descr="" title="" id="25" name="Picture"/>
                        <a:graphic>
                          <a:graphicData uri="http://schemas.openxmlformats.org/drawingml/2006/picture">
                            <pic:pic>
                              <pic:nvPicPr>
                                <pic:cNvPr descr="images/salary-position-info.png" id="26" name="Picture"/>
                                <pic:cNvPicPr>
                                  <a:picLocks noChangeArrowheads="1" noChangeAspect="1"/>
                                </pic:cNvPicPr>
                              </pic:nvPicPr>
                              <pic:blipFill>
                                <a:blip r:embed="rId24"/>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27"/>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2" w:name="fig-position-information"/>
                <w:p>
                  <w:pPr>
                    <w:pStyle w:val="Compact"/>
                    <w:jc w:val="center"/>
                  </w:pPr>
                  <w:bookmarkStart w:id="31" w:name="fig-position-information"/>
                  <w:r>
                    <w:drawing>
                      <wp:inline>
                        <wp:extent cx="4792133" cy="482757"/>
                        <wp:effectExtent b="0" l="0" r="0" t="0"/>
                        <wp:docPr descr="" title="" id="29" name="Picture"/>
                        <a:graphic>
                          <a:graphicData uri="http://schemas.openxmlformats.org/drawingml/2006/picture">
                            <pic:pic>
                              <pic:nvPicPr>
                                <pic:cNvPr descr="images/roster-position-info.png" id="30" name="Picture"/>
                                <pic:cNvPicPr>
                                  <a:picLocks noChangeArrowheads="1" noChangeAspect="1"/>
                                </pic:cNvPicPr>
                              </pic:nvPicPr>
                              <pic:blipFill>
                                <a:blip r:embed="rId28"/>
                                <a:stretch>
                                  <a:fillRect/>
                                </a:stretch>
                              </pic:blipFill>
                              <pic:spPr bwMode="auto">
                                <a:xfrm>
                                  <a:off x="0" y="0"/>
                                  <a:ext cx="4792133" cy="482757"/>
                                </a:xfrm>
                                <a:prstGeom prst="rect">
                                  <a:avLst/>
                                </a:prstGeom>
                                <a:noFill/>
                                <a:ln w="9525">
                                  <a:noFill/>
                                  <a:headEnd/>
                                  <a:tailEnd/>
                                </a:ln>
                              </pic:spPr>
                            </pic:pic>
                          </a:graphicData>
                        </a:graphic>
                      </wp:inline>
                    </w:drawing>
                  </w:r>
                  <w:bookmarkEnd w:id="31"/>
                </w:p>
                <w:p>
                  <w:pPr>
                    <w:jc w:val="center"/>
                  </w:pPr>
                  <w:pPr>
                    <w:jc w:val="start"/>
                    <w:spacing w:before="200"/>
                    <w:pStyle w:val="ImageCaption"/>
                  </w:pPr>
                  <w:r>
                    <w:t xml:space="preserve">Figure 2</w:t>
                  </w:r>
                </w:p>
                <w:bookmarkEnd w:id="32"/>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Instructor FTE Problem</w:t>
            </w:r>
          </w:p>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33"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33"/>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Research Contributions by NTT Professors</w:t>
            </w:r>
          </w:p>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Per-capita measures</w:t>
            </w:r>
          </w:p>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VSIP percentage</w:t>
            </w:r>
          </w:p>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34"/>
    <w:bookmarkEnd w:id="35"/>
    <w:bookmarkStart w:id="43" w:name="teaching"/>
    <w:p>
      <w:pPr>
        <w:pStyle w:val="Heading1"/>
      </w:pPr>
      <w:r>
        <w:t xml:space="preserve">2. Teaching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Data Lockout and Validation</w:t>
            </w:r>
          </w:p>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36">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37" w:name="enrollment"/>
    <w:p>
      <w:pPr>
        <w:pStyle w:val="Heading2"/>
      </w:pPr>
      <w:r>
        <w:t xml:space="preserve">2.1 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Completions to Majors for New Programs</w:t>
            </w:r>
          </w:p>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Graduation Rates Shouldn’t Be Pooled</w:t>
            </w:r>
          </w:p>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37"/>
    <w:bookmarkStart w:id="41" w:name="sch-tuition"/>
    <w:p>
      <w:pPr>
        <w:pStyle w:val="Heading2"/>
      </w:pPr>
      <w:r>
        <w:t xml:space="preserve">2.2 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2020 anomalies</w:t>
            </w:r>
          </w:p>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2"/>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39" name="Picture"/>
            <a:graphic>
              <a:graphicData uri="http://schemas.openxmlformats.org/drawingml/2006/picture">
                <pic:pic>
                  <pic:nvPicPr>
                    <pic:cNvPr descr="images/instructional-sch-calc.png" id="40" name="Picture"/>
                    <pic:cNvPicPr>
                      <a:picLocks noChangeArrowheads="1" noChangeAspect="1"/>
                    </pic:cNvPicPr>
                  </pic:nvPicPr>
                  <pic:blipFill>
                    <a:blip r:embed="rId38"/>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bookmarkEnd w:id="41"/>
    <w:bookmarkStart w:id="42" w:name="ratios"/>
    <w:p>
      <w:pPr>
        <w:pStyle w:val="Heading2"/>
      </w:pPr>
      <w:r>
        <w:t xml:space="preserve">2.3 Ratios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Ratios are Stochastic Nightmares</w:t>
            </w:r>
          </w:p>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42"/>
    <w:bookmarkEnd w:id="43"/>
    <w:bookmarkStart w:id="71" w:name="research"/>
    <w:p>
      <w:pPr>
        <w:pStyle w:val="Heading1"/>
      </w:pPr>
      <w:r>
        <w:t xml:space="preserve">3. Research</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Z-scores for research</w:t>
            </w:r>
          </w:p>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60" w:name="sri"/>
    <w:p>
      <w:pPr>
        <w:pStyle w:val="Heading2"/>
      </w:pPr>
      <w:r>
        <w:t xml:space="preserve">3.1 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3"/>
        </w:numPr>
      </w:pPr>
      <w:r>
        <w:t xml:space="preserve">scholarly products, such as conference proceedings, research articles, books, and book chapters,</w:t>
      </w:r>
    </w:p>
    <w:p>
      <w:pPr>
        <w:pStyle w:val="Compact"/>
        <w:numPr>
          <w:ilvl w:val="0"/>
          <w:numId w:val="1003"/>
        </w:numPr>
      </w:pPr>
      <w:r>
        <w:t xml:space="preserve">recognition from the community in form of citations and awards, and</w:t>
      </w:r>
    </w:p>
    <w:p>
      <w:pPr>
        <w:pStyle w:val="Compact"/>
        <w:numPr>
          <w:ilvl w:val="0"/>
          <w:numId w:val="1003"/>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1 - Averaging Multiple SRI scores</w:t>
            </w:r>
          </w:p>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47" w:name="fig-sri-multi-values"/>
                <w:p>
                  <w:pPr>
                    <w:pStyle w:val="Compact"/>
                    <w:jc w:val="center"/>
                  </w:pPr>
                  <w:r>
                    <w:drawing>
                      <wp:inline>
                        <wp:extent cx="5334000" cy="6667500"/>
                        <wp:effectExtent b="0" l="0" r="0" t="0"/>
                        <wp:docPr descr="" title="" id="45" name="Picture"/>
                        <a:graphic>
                          <a:graphicData uri="http://schemas.openxmlformats.org/drawingml/2006/picture">
                            <pic:pic>
                              <pic:nvPicPr>
                                <pic:cNvPr descr="metrics-analysis_files/figure-docx/fig-sri-multi-values-1.png" id="46" name="Picture"/>
                                <pic:cNvPicPr>
                                  <a:picLocks noChangeArrowheads="1" noChangeAspect="1"/>
                                </pic:cNvPicPr>
                              </pic:nvPicPr>
                              <pic:blipFill>
                                <a:blip r:embed="rId44"/>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47"/>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4"/>
              </w:numPr>
            </w:pPr>
            <w:r>
              <w:t xml:space="preserve">take a weighted average of the percentile or quantile scores, with weight determined by the composition of the department.</w:t>
            </w:r>
          </w:p>
          <w:p>
            <w:pPr>
              <w:pStyle w:val="Compact"/>
              <w:numPr>
                <w:ilvl w:val="0"/>
                <w:numId w:val="1004"/>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2 - Cross-Department Comparisons</w:t>
            </w:r>
          </w:p>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48"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48"/>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49"/>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50">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51">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bl>
            <w:tblPr>
              <w:tblStyle w:val="Table"/>
              <w:tblW w:type="pct" w:w="5000"/>
              <w:tblLayout w:type="fixed"/>
              <w:tblLook w:firstRow="0" w:lastRow="0" w:firstColumn="0" w:lastColumn="0" w:noHBand="0" w:noVBand="0" w:val="0000"/>
            </w:tblPr>
            <w:tblGrid>
              <w:gridCol w:w="7920"/>
            </w:tblGrid>
            <w:tr>
              <w:tc>
                <w:tcPr/>
                <w:bookmarkStart w:id="55" w:name="fig-sri-percentile-all-depts"/>
                <w:p>
                  <w:pPr>
                    <w:pStyle w:val="Compact"/>
                    <w:jc w:val="center"/>
                  </w:pPr>
                  <w:r>
                    <w:drawing>
                      <wp:inline>
                        <wp:extent cx="5334000" cy="6667500"/>
                        <wp:effectExtent b="0" l="0" r="0" t="0"/>
                        <wp:docPr descr="" title="" id="53" name="Picture"/>
                        <a:graphic>
                          <a:graphicData uri="http://schemas.openxmlformats.org/drawingml/2006/picture">
                            <pic:pic>
                              <pic:nvPicPr>
                                <pic:cNvPr descr="metrics-analysis_files/figure-docx/fig-sri-percentile-all-depts-1.png" id="54" name="Picture"/>
                                <pic:cNvPicPr>
                                  <a:picLocks noChangeArrowheads="1" noChangeAspect="1"/>
                                </pic:cNvPicPr>
                              </pic:nvPicPr>
                              <pic:blipFill>
                                <a:blip r:embed="rId52"/>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55"/>
              </w:tc>
            </w:tr>
          </w:tbl>
          <w:tbl>
            <w:tblPr>
              <w:tblStyle w:val="Table"/>
              <w:tblW w:type="pct" w:w="5000"/>
              <w:tblLayout w:type="fixed"/>
              <w:tblLook w:firstRow="0" w:lastRow="0" w:firstColumn="0" w:lastColumn="0" w:noHBand="0" w:noVBand="0" w:val="0000"/>
            </w:tblPr>
            <w:tblGrid>
              <w:gridCol w:w="7920"/>
            </w:tblGrid>
            <w:tr>
              <w:tc>
                <w:tcPr/>
                <w:bookmarkStart w:id="59" w:name="fig-sri-by-class"/>
                <w:p>
                  <w:pPr>
                    <w:pStyle w:val="Compact"/>
                    <w:jc w:val="center"/>
                  </w:pPr>
                  <w:r>
                    <w:drawing>
                      <wp:inline>
                        <wp:extent cx="5334000" cy="4000500"/>
                        <wp:effectExtent b="0" l="0" r="0" t="0"/>
                        <wp:docPr descr="" title="" id="57" name="Picture"/>
                        <a:graphic>
                          <a:graphicData uri="http://schemas.openxmlformats.org/drawingml/2006/picture">
                            <pic:pic>
                              <pic:nvPicPr>
                                <pic:cNvPr descr="metrics-analysis_files/figure-docx/fig-sri-by-class-1.png" id="58"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59"/>
              </w:tc>
            </w:tr>
          </w:tbl>
        </w:tc>
      </w:tr>
    </w:tbl>
    <w:bookmarkEnd w:id="60"/>
    <w:bookmarkStart w:id="62" w:name="awards"/>
    <w:p>
      <w:pPr>
        <w:pStyle w:val="Heading2"/>
      </w:pPr>
      <w:r>
        <w:t xml:space="preserve">3.2 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Award comparisons should be made within discipline, not across disciplines, as the AAU list of prestigious awards does not include the</w:t>
            </w:r>
            <w:r>
              <w:t xml:space="preserve"> </w:t>
            </w:r>
            <w:hyperlink r:id="rId61">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62"/>
    <w:bookmarkStart w:id="63" w:name="books"/>
    <w:p>
      <w:pPr>
        <w:pStyle w:val="Heading2"/>
      </w:pPr>
      <w:r>
        <w:t xml:space="preserve">3.3 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Book Disciplines and Book Data</w:t>
            </w:r>
          </w:p>
          <w:p>
            <w:pPr>
              <w:pStyle w:val="BodyText"/>
            </w:pPr>
            <w:pPr>
              <w:spacing w:before="16"/>
            </w:pPr>
            <w:r>
              <w:t xml:space="preserve">While the book data from Academic Analytics is overall quite high quality, it does have some issues in that it is dependent on publisher reporting. 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tenure-track FTE.</w:t>
            </w:r>
          </w:p>
        </w:tc>
      </w:tr>
    </w:tbl>
    <w:bookmarkEnd w:id="63"/>
    <w:bookmarkStart w:id="65" w:name="citations"/>
    <w:p>
      <w:pPr>
        <w:pStyle w:val="Heading2"/>
      </w:pPr>
      <w:r>
        <w:t xml:space="preserve">3.4 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Window</w:t>
            </w:r>
          </w:p>
          <w:p>
            <w:pPr>
              <w:pStyle w:val="BodyText"/>
            </w:pPr>
            <w:pPr>
              <w:spacing w:before="16"/>
            </w:pPr>
            <w:r>
              <w:t xml:space="preserve">The choice to use Academic Analytics (2020-2023) citations is not discipline-neutral.</w:t>
            </w:r>
            <w:r>
              <w:t xml:space="preserve"> </w:t>
            </w:r>
            <w:r>
              <w:t xml:space="preserve">The InCites citation window is 10 years, which is long enough for most disciplines.</w:t>
            </w:r>
            <w:r>
              <w:t xml:space="preserve"> </w:t>
            </w:r>
            <w:r>
              <w:t xml:space="preserve">A citation interval of</w:t>
            </w:r>
            <w:r>
              <w:t xml:space="preserve"> </w:t>
            </w:r>
            <m:oMath>
              <m:r>
                <m:rPr>
                  <m:sty m:val="p"/>
                </m:rPr>
                <m:t>&lt;</m:t>
              </m:r>
              <m:r>
                <m:t>4</m:t>
              </m:r>
            </m:oMath>
            <w:r>
              <w:t xml:space="preserve"> </w:t>
            </w:r>
            <w:r>
              <w:t xml:space="preserve">years might be fine for computer science and some engineering disciplines, but papers in many human-subjects and foundational disciplines (basic science, math, humanities) have a longer shelf-life.</w:t>
            </w:r>
            <w:r>
              <w:t xml:space="preserve"> </w:t>
            </w:r>
            <w:r>
              <w:t xml:space="preserve">In some disciplines (statistics, math), however,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64">
              <w:r>
                <w:rPr>
                  <w:rStyle w:val="Hyperlink"/>
                </w:rPr>
                <w:t xml:space="preserve">http://dx.doi.org/10.2139/ssrn.2964565</w:t>
              </w:r>
            </w:hyperlink>
          </w:p>
        </w:tc>
      </w:tr>
    </w:tbl>
    <w:p>
      <w:pPr>
        <w:pStyle w:val="FirstParagraph"/>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normalization</w:t>
            </w:r>
          </w:p>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counts</w:t>
            </w:r>
          </w:p>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65"/>
    <w:bookmarkStart w:id="68" w:name="research-awards-inc-nuf"/>
    <w:p>
      <w:pPr>
        <w:pStyle w:val="Heading2"/>
      </w:pPr>
      <w:r>
        <w:t xml:space="preserve">3.5 Research Awards Inc NUF</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Grant Metric Problems</w:t>
            </w:r>
          </w:p>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66"/>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67">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w:t>
            </w:r>
            <w:r>
              <w:rPr>
                <w:b/>
                <w:bCs/>
              </w:rPr>
              <w:t xml:space="preserve"> </w:t>
            </w:r>
            <w:r>
              <w:rPr>
                <w:rStyle w:val="VerbatimChar"/>
                <w:b/>
                <w:bCs/>
              </w:rPr>
              <w:t xml:space="preserve">research_awards_growth_inc_nuf_fy20_fy24</w:t>
            </w:r>
          </w:p>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68"/>
    <w:bookmarkStart w:id="69" w:name="Xf666d5ee7bfafa23ec7b5f18f615f87143aaef7"/>
    <w:p>
      <w:pPr>
        <w:pStyle w:val="Heading2"/>
      </w:pPr>
      <w:r>
        <w:t xml:space="preserve">3.6 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 total_sponsored_awards_inc_nuf_rsch_pub_serv_teach_avg_awards_budget</w:t>
            </w:r>
          </w:p>
          <w:p>
            <w:pPr>
              <w:pStyle w:val="BodyText"/>
            </w:pPr>
            <w:pPr>
              <w:spacing w:before="16" w:after="16"/>
            </w:pPr>
            <w:r>
              <w:t xml:space="preserve">It’s unclear why the</w:t>
            </w:r>
            <w:r>
              <w:t xml:space="preserve"> </w:t>
            </w:r>
            <w:r>
              <w:rPr>
                <w:rStyle w:val="VerbatimChar"/>
              </w:rPr>
              <w:t xml:space="preserve">total_sponsored_awards_inc_nuf_rsch_pub_serv_teach_avg_awards_budget</w:t>
            </w:r>
            <w:r>
              <w:t xml:space="preserve"> </w:t>
            </w:r>
            <w:r>
              <w:t xml:space="preserve">indicator was divided by total state appropriated budget, but the numbers for Statistics grants are all over the place.</w:t>
            </w:r>
            <w:r>
              <w:t xml:space="preserve"> </w:t>
            </w:r>
            <w:r>
              <w:t xml:space="preserve">For instance, if we multiply the 0.362 value for statistics (before it is converted to a z-score) by the state permanent budget from 2025-26, we get 4.8118524</w:t>
            </w:r>
            <w:r>
              <w:t xml:space="preserve">^{5}.</w:t>
            </w:r>
            <w:r>
              <w:t xml:space="preserve"> </w:t>
            </w:r>
            <w:r>
              <w:t xml:space="preserve">One PI in the department brought in 1.2 million dollars in grant money during the 2020-2024 period.</w:t>
            </w:r>
            <w:r>
              <w:t xml:space="preserve"> </w:t>
            </w:r>
            <w:r>
              <w:t xml:space="preserve">Thus, we have had a difficult time validating these numbers in any way.</w:t>
            </w:r>
          </w:p>
        </w:tc>
      </w:tr>
    </w:tbl>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69"/>
    <w:bookmarkStart w:id="70" w:name="p1-expenditures"/>
    <w:p>
      <w:pPr>
        <w:pStyle w:val="Heading2"/>
      </w:pPr>
      <w:r>
        <w:t xml:space="preserve">3.7 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70"/>
    <w:bookmarkEnd w:id="71"/>
    <w:bookmarkStart w:id="73" w:name="X37742c93d81f8ae2c1a2b0b29bc52f0cc8ee6cb"/>
    <w:p>
      <w:pPr>
        <w:pStyle w:val="Heading1"/>
      </w:pPr>
      <w:r>
        <w:t xml:space="preserve">4. 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Instructional Z-score Problem</w:t>
            </w:r>
          </w:p>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72">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66">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hyperlink" Id="rId3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64" Target="http://dx.doi.org/10.2139/ssrn.2964565" TargetMode="External" /><Relationship Type="http://schemas.openxmlformats.org/officeDocument/2006/relationships/hyperlink" Id="rId50" Target="https://demonstrations.wolfram.com/ConvergenceOfTheEmpiricalDistributionFunctionOfASample/" TargetMode="External" /><Relationship Type="http://schemas.openxmlformats.org/officeDocument/2006/relationships/hyperlink" Id="rId51" Target="https://en.wikipedia.org/wiki/Binomial_proportion_confidence_interval" TargetMode="External" /><Relationship Type="http://schemas.openxmlformats.org/officeDocument/2006/relationships/hyperlink" Id="rId72" Target="https://en.wikipedia.org/wiki/Ratio_distribution" TargetMode="External" /><Relationship Type="http://schemas.openxmlformats.org/officeDocument/2006/relationships/hyperlink" Id="rId67" Target="https://en.wikipedia.org/wiki/Simpson%27s_paradox" TargetMode="External" /><Relationship Type="http://schemas.openxmlformats.org/officeDocument/2006/relationships/hyperlink" Id="rId23" Target="https://nebraska.edu/offices-policies/business-finance/budget-and-planning" TargetMode="External" /><Relationship Type="http://schemas.openxmlformats.org/officeDocument/2006/relationships/hyperlink" Id="rId61"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3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64" Target="http://dx.doi.org/10.2139/ssrn.2964565" TargetMode="External" /><Relationship Type="http://schemas.openxmlformats.org/officeDocument/2006/relationships/hyperlink" Id="rId50" Target="https://demonstrations.wolfram.com/ConvergenceOfTheEmpiricalDistributionFunctionOfASample/" TargetMode="External" /><Relationship Type="http://schemas.openxmlformats.org/officeDocument/2006/relationships/hyperlink" Id="rId51" Target="https://en.wikipedia.org/wiki/Binomial_proportion_confidence_interval" TargetMode="External" /><Relationship Type="http://schemas.openxmlformats.org/officeDocument/2006/relationships/hyperlink" Id="rId72" Target="https://en.wikipedia.org/wiki/Ratio_distribution" TargetMode="External" /><Relationship Type="http://schemas.openxmlformats.org/officeDocument/2006/relationships/hyperlink" Id="rId67" Target="https://en.wikipedia.org/wiki/Simpson%27s_paradox" TargetMode="External" /><Relationship Type="http://schemas.openxmlformats.org/officeDocument/2006/relationships/hyperlink" Id="rId23" Target="https://nebraska.edu/offices-policies/business-finance/budget-and-planning" TargetMode="External" /><Relationship Type="http://schemas.openxmlformats.org/officeDocument/2006/relationships/hyperlink" Id="rId61"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the Metrics Used in the 2025 Budget Reduction Proposal</dc:title>
  <dc:creator/>
  <cp:keywords/>
  <dcterms:created xsi:type="dcterms:W3CDTF">2025-10-06T01:05:14Z</dcterms:created>
  <dcterms:modified xsi:type="dcterms:W3CDTF">2025-10-06T01:05:14Z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