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114.png" ContentType="image/png"/>
  <Override PartName="/word/media/rId35.png" ContentType="image/png"/>
  <Override PartName="/word/media/rId31.png" ContentType="image/png"/>
  <Override PartName="/word/media/rId67.png" ContentType="image/png"/>
  <Override PartName="/word/media/rId5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 Analysis of the Metrics Used in the 2025 Budget Reduction Proposal</w:t>
      </w:r>
    </w:p>
    <w:p>
      <w:pPr>
        <w:pStyle w:val="FirstParagraph"/>
      </w:pPr>
      <w:r>
        <w:t xml:space="preserve">This document contains a reorganized version of the code book provided to departments.</w:t>
      </w:r>
      <w:r>
        <w:t xml:space="preserve"> </w:t>
      </w:r>
      <w:r>
        <w:t xml:space="preserve">The code book describes how the various measures used to evaluate departments were assembled and calculated.</w:t>
      </w:r>
      <w:r>
        <w:t xml:space="preserve"> </w:t>
      </w:r>
      <w:r>
        <w:t xml:space="preserve">Measure definitions have been rearranged to form coherent categories (the</w:t>
      </w:r>
      <w:r>
        <w:t xml:space="preserve"> </w:t>
      </w:r>
      <w:hyperlink r:id="rId20">
        <w:r>
          <w:rPr>
            <w:rStyle w:val="Hyperlink"/>
          </w:rPr>
          <w:t xml:space="preserve">original document</w:t>
        </w:r>
      </w:hyperlink>
      <w:r>
        <w:t xml:space="preserve"> </w:t>
      </w:r>
      <w:r>
        <w:t xml:space="preserve">is difficult to follow in part because derivative measures are sometimes not close to their inputs).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w:t>
            </w:r>
          </w:p>
        </w:tc>
      </w:tr>
      <w:tr>
        <w:trPr>
          <w:cantSplit/>
        </w:trPr>
        <w:tc>
          <w:tcPr>
            <w:tcMar>
              <w:top w:w="108" w:type="dxa"/>
              <w:bottom w:w="108" w:type="dxa"/>
            </w:tcMar>
          </w:tcPr>
          <w:p>
            <w:pPr>
              <w:pStyle w:val="BodyText"/>
            </w:pPr>
            <w:pPr>
              <w:spacing w:before="16" w:after="16"/>
            </w:pPr>
            <w:r>
              <w:t xml:space="preserve">Comments on the validity of various measures are contained in highlighted blocks to differentiate them from the official metric definitions.</w:t>
            </w:r>
            <w:r>
              <w:t xml:space="preserve"> </w:t>
            </w:r>
            <w:r>
              <w:t xml:space="preserve">In most cases, these comments are focused on the problems discovered by the Statistics department, however, it seems likely that most issues cut across many departments.</w:t>
            </w:r>
          </w:p>
        </w:tc>
      </w:tr>
    </w:tbl>
    <w:bookmarkStart w:id="50" w:name="general-descriptors"/>
    <w:p>
      <w:pPr>
        <w:pStyle w:val="Heading1"/>
      </w:pPr>
      <w:r>
        <w:t xml:space="preserve">1. General Descriptors</w:t>
      </w:r>
    </w:p>
    <w:bookmarkStart w:id="24" w:name="identifiers"/>
    <w:p>
      <w:pPr>
        <w:pStyle w:val="Heading2"/>
      </w:pPr>
      <w:r>
        <w:t xml:space="preserve">1.1 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4"/>
    <w:bookmarkStart w:id="25" w:name="budget"/>
    <w:p>
      <w:pPr>
        <w:pStyle w:val="Heading2"/>
      </w:pPr>
      <w:r>
        <w:t xml:space="preserve">1.2 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5"/>
    <w:bookmarkStart w:id="49" w:name="appointments-headcount"/>
    <w:p>
      <w:pPr>
        <w:pStyle w:val="Heading2"/>
      </w:pPr>
      <w:r>
        <w:t xml:space="preserve">1.3 Appointments &amp; Headcount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warning.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 Apportionment problem: Partial-year data not included</w:t>
            </w:r>
          </w:p>
        </w:tc>
      </w:tr>
      <w:tr>
        <w:trPr>
          <w:cantSplit/>
        </w:trPr>
        <w:tc>
          <w:tcPr>
            <w:tcMar>
              <w:top w:w="108" w:type="dxa"/>
              <w:bottom w:w="108" w:type="dxa"/>
            </w:tcMar>
          </w:tcPr>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warning.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3: Headcount problem: Lack of Public Data Confirmation</w:t>
            </w:r>
          </w:p>
        </w:tc>
      </w:tr>
      <w:tr>
        <w:trPr>
          <w:cantSplit/>
        </w:trPr>
        <w:tc>
          <w:tcPr>
            <w:tcMar>
              <w:top w:w="108" w:type="dxa"/>
              <w:bottom w:w="108" w:type="dxa"/>
            </w:tcMar>
          </w:tcPr>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30">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34" w:name="fig-salary-sources"/>
                <w:p>
                  <w:pPr>
                    <w:pStyle w:val="Compact"/>
                    <w:jc w:val="center"/>
                  </w:pPr>
                  <w:r>
                    <w:drawing>
                      <wp:inline>
                        <wp:extent cx="5334000" cy="366227"/>
                        <wp:effectExtent b="0" l="0" r="0" t="0"/>
                        <wp:docPr descr="" title="" id="32" name="Picture"/>
                        <a:graphic>
                          <a:graphicData uri="http://schemas.openxmlformats.org/drawingml/2006/picture">
                            <pic:pic>
                              <pic:nvPicPr>
                                <pic:cNvPr descr="images/salary-position-info.png" id="33" name="Picture"/>
                                <pic:cNvPicPr>
                                  <a:picLocks noChangeArrowheads="1" noChangeAspect="1"/>
                                </pic:cNvPicPr>
                              </pic:nvPicPr>
                              <pic:blipFill>
                                <a:blip r:embed="rId31"/>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34"/>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9" w:name="fig-position-information"/>
                <w:p>
                  <w:pPr>
                    <w:pStyle w:val="Compact"/>
                    <w:jc w:val="center"/>
                  </w:pPr>
                  <w:bookmarkStart w:id="38" w:name="fig-position-information"/>
                  <w:r>
                    <w:drawing>
                      <wp:inline>
                        <wp:extent cx="4792133" cy="482757"/>
                        <wp:effectExtent b="0" l="0" r="0" t="0"/>
                        <wp:docPr descr="" title="" id="36" name="Picture"/>
                        <a:graphic>
                          <a:graphicData uri="http://schemas.openxmlformats.org/drawingml/2006/picture">
                            <pic:pic>
                              <pic:nvPicPr>
                                <pic:cNvPr descr="images/roster-position-info.png" id="37" name="Picture"/>
                                <pic:cNvPicPr>
                                  <a:picLocks noChangeArrowheads="1" noChangeAspect="1"/>
                                </pic:cNvPicPr>
                              </pic:nvPicPr>
                              <pic:blipFill>
                                <a:blip r:embed="rId35"/>
                                <a:stretch>
                                  <a:fillRect/>
                                </a:stretch>
                              </pic:blipFill>
                              <pic:spPr bwMode="auto">
                                <a:xfrm>
                                  <a:off x="0" y="0"/>
                                  <a:ext cx="4792133" cy="482757"/>
                                </a:xfrm>
                                <a:prstGeom prst="rect">
                                  <a:avLst/>
                                </a:prstGeom>
                                <a:noFill/>
                                <a:ln w="9525">
                                  <a:noFill/>
                                  <a:headEnd/>
                                  <a:tailEnd/>
                                </a:ln>
                              </pic:spPr>
                            </pic:pic>
                          </a:graphicData>
                        </a:graphic>
                      </wp:inline>
                    </w:drawing>
                  </w:r>
                  <w:bookmarkEnd w:id="38"/>
                </w:p>
                <w:p>
                  <w:pPr>
                    <w:jc w:val="center"/>
                  </w:pPr>
                  <w:pPr>
                    <w:jc w:val="start"/>
                    <w:spacing w:before="200"/>
                    <w:pStyle w:val="ImageCaption"/>
                  </w:pPr>
                  <w:r>
                    <w:t xml:space="preserve">Figure 2</w:t>
                  </w:r>
                </w:p>
                <w:bookmarkEnd w:id="39"/>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warning.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4: Instructor FTE Problem</w:t>
            </w:r>
          </w:p>
        </w:tc>
      </w:tr>
      <w:tr>
        <w:trPr>
          <w:cantSplit/>
        </w:trPr>
        <w:tc>
          <w:tcPr>
            <w:tcMar>
              <w:top w:w="108" w:type="dxa"/>
              <w:bottom w:w="108" w:type="dxa"/>
            </w:tcMar>
          </w:tcPr>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42"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p>
                  <w:pPr>
                    <w:pStyle w:val="Compact"/>
                    <w:jc w:val="center"/>
                  </w:pPr>
                  <w:r>
                    <w:t xml:space="preserve">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Caption w:val="Top and Bottom 15 departments by ratio of total instructor FTE to appointment apportionment FTE. Only departments with nonzero total instructor FTE are included."/>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42"/>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warning.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5: Research Contributions by NTT Professors</w:t>
            </w:r>
          </w:p>
        </w:tc>
      </w:tr>
      <w:tr>
        <w:trPr>
          <w:cantSplit/>
        </w:trPr>
        <w:tc>
          <w:tcPr>
            <w:tcMar>
              <w:top w:w="108" w:type="dxa"/>
              <w:bottom w:w="108" w:type="dxa"/>
            </w:tcMar>
          </w:tcPr>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warning.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6: Per-capita measures</w:t>
            </w:r>
          </w:p>
        </w:tc>
      </w:tr>
      <w:tr>
        <w:trPr>
          <w:cantSplit/>
        </w:trPr>
        <w:tc>
          <w:tcPr>
            <w:tcMar>
              <w:top w:w="108" w:type="dxa"/>
              <w:bottom w:w="108" w:type="dxa"/>
            </w:tcMar>
          </w:tcPr>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warning.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7: VSIP percentage</w:t>
            </w:r>
          </w:p>
        </w:tc>
      </w:tr>
      <w:tr>
        <w:trPr>
          <w:cantSplit/>
        </w:trPr>
        <w:tc>
          <w:tcPr>
            <w:tcMar>
              <w:top w:w="108" w:type="dxa"/>
              <w:bottom w:w="108" w:type="dxa"/>
            </w:tcMar>
          </w:tcPr>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49"/>
    <w:bookmarkEnd w:id="50"/>
    <w:bookmarkStart w:id="103" w:name="research"/>
    <w:p>
      <w:pPr>
        <w:pStyle w:val="Heading1"/>
      </w:pPr>
      <w:r>
        <w:t xml:space="preserve">2. Research</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warning.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8: Z-scores for research</w:t>
            </w:r>
          </w:p>
        </w:tc>
      </w:tr>
      <w:tr>
        <w:trPr>
          <w:cantSplit/>
        </w:trPr>
        <w:tc>
          <w:tcPr>
            <w:tcMar>
              <w:top w:w="108" w:type="dxa"/>
              <w:bottom w:w="108" w:type="dxa"/>
            </w:tcMar>
          </w:tcPr>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76" w:name="sri"/>
    <w:p>
      <w:pPr>
        <w:pStyle w:val="Heading2"/>
      </w:pPr>
      <w:r>
        <w:t xml:space="preserve">2.1 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2"/>
        </w:numPr>
      </w:pPr>
      <w:r>
        <w:t xml:space="preserve">scholarly products, such as conference proceedings, research articles, books, and book chapters,</w:t>
      </w:r>
    </w:p>
    <w:p>
      <w:pPr>
        <w:pStyle w:val="Compact"/>
        <w:numPr>
          <w:ilvl w:val="0"/>
          <w:numId w:val="1002"/>
        </w:numPr>
      </w:pPr>
      <w:r>
        <w:t xml:space="preserve">recognition from the community in form of citations and awards, and</w:t>
      </w:r>
    </w:p>
    <w:p>
      <w:pPr>
        <w:pStyle w:val="Compact"/>
        <w:numPr>
          <w:ilvl w:val="0"/>
          <w:numId w:val="1002"/>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warning.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9: SRI Problem 1 - Averaging Multiple SRI scores</w:t>
            </w:r>
          </w:p>
        </w:tc>
      </w:tr>
      <w:tr>
        <w:trPr>
          <w:cantSplit/>
        </w:trPr>
        <w:tc>
          <w:tcPr>
            <w:tcMar>
              <w:top w:w="108" w:type="dxa"/>
              <w:bottom w:w="108" w:type="dxa"/>
            </w:tcMar>
          </w:tcPr>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58" w:name="fig-sri-multi-values"/>
                <w:p>
                  <w:pPr>
                    <w:pStyle w:val="Compact"/>
                    <w:jc w:val="center"/>
                  </w:pPr>
                  <w:r>
                    <w:drawing>
                      <wp:inline>
                        <wp:extent cx="5334000" cy="6667500"/>
                        <wp:effectExtent b="0" l="0" r="0" t="0"/>
                        <wp:docPr descr="" title="" id="56" name="Picture"/>
                        <a:graphic>
                          <a:graphicData uri="http://schemas.openxmlformats.org/drawingml/2006/picture">
                            <pic:pic>
                              <pic:nvPicPr>
                                <pic:cNvPr descr="metrics-analysis_files/figure-docx/fig-sri-multi-values-1.png" id="57" name="Picture"/>
                                <pic:cNvPicPr>
                                  <a:picLocks noChangeArrowheads="1" noChangeAspect="1"/>
                                </pic:cNvPicPr>
                              </pic:nvPicPr>
                              <pic:blipFill>
                                <a:blip r:embed="rId55"/>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58"/>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3"/>
              </w:numPr>
            </w:pPr>
            <w:r>
              <w:t xml:space="preserve">take a weighted average of the percentile or quantile scores, with weight determined by the composition of the department.</w:t>
            </w:r>
          </w:p>
          <w:p>
            <w:pPr>
              <w:pStyle w:val="Compact"/>
              <w:numPr>
                <w:ilvl w:val="0"/>
                <w:numId w:val="1003"/>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warning.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10: SRI Problem 2 - Cross-Department Comparisons</w:t>
            </w:r>
          </w:p>
        </w:tc>
      </w:tr>
      <w:tr>
        <w:trPr>
          <w:cantSplit/>
        </w:trPr>
        <w:tc>
          <w:tcPr>
            <w:tcMar>
              <w:top w:w="108" w:type="dxa"/>
              <w:bottom w:w="108" w:type="dxa"/>
            </w:tcMar>
          </w:tcPr>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61"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61"/>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62"/>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tbl>
            <w:tblPr>
              <w:tblStyle w:val="Table"/>
              <w:tblW w:type="pct" w:w="5000"/>
              <w:tblLayout w:type="fixed"/>
              <w:tblLook w:firstRow="0" w:lastRow="0" w:firstColumn="0" w:lastColumn="0" w:noHBand="0" w:noVBand="0" w:val="0000"/>
            </w:tblPr>
            <w:tblGrid>
              <w:gridCol w:w="7920"/>
            </w:tblGrid>
            <w:tr>
              <w:tc>
                <w:tcPr/>
                <w:bookmarkStart w:id="66" w:name="fig-sri-percentile-all-depts"/>
                <w:p>
                  <w:pPr>
                    <w:pStyle w:val="Compact"/>
                    <w:jc w:val="center"/>
                  </w:pPr>
                  <w:r>
                    <w:drawing>
                      <wp:inline>
                        <wp:extent cx="5334000" cy="6667500"/>
                        <wp:effectExtent b="0" l="0" r="0" t="0"/>
                        <wp:docPr descr="" title="" id="64" name="Picture"/>
                        <a:graphic>
                          <a:graphicData uri="http://schemas.openxmlformats.org/drawingml/2006/picture">
                            <pic:pic>
                              <pic:nvPicPr>
                                <pic:cNvPr descr="metrics-analysis_files/figure-docx/fig-sri-percentile-all-depts-1.png" id="65" name="Picture"/>
                                <pic:cNvPicPr>
                                  <a:picLocks noChangeArrowheads="1" noChangeAspect="1"/>
                                </pic:cNvPicPr>
                              </pic:nvPicPr>
                              <pic:blipFill>
                                <a:blip r:embed="rId63"/>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66"/>
              </w:tc>
            </w:tr>
          </w:tbl>
          <w:tbl>
            <w:tblPr>
              <w:tblStyle w:val="Table"/>
              <w:tblW w:type="pct" w:w="5000"/>
              <w:tblLayout w:type="fixed"/>
              <w:tblLook w:firstRow="0" w:lastRow="0" w:firstColumn="0" w:lastColumn="0" w:noHBand="0" w:noVBand="0" w:val="0000"/>
            </w:tblPr>
            <w:tblGrid>
              <w:gridCol w:w="7920"/>
            </w:tblGrid>
            <w:tr>
              <w:tc>
                <w:tcPr/>
                <w:bookmarkStart w:id="70" w:name="fig-sri-by-class"/>
                <w:p>
                  <w:pPr>
                    <w:pStyle w:val="Compact"/>
                    <w:jc w:val="center"/>
                  </w:pPr>
                  <w:r>
                    <w:drawing>
                      <wp:inline>
                        <wp:extent cx="5334000" cy="4000500"/>
                        <wp:effectExtent b="0" l="0" r="0" t="0"/>
                        <wp:docPr descr="" title="" id="68" name="Picture"/>
                        <a:graphic>
                          <a:graphicData uri="http://schemas.openxmlformats.org/drawingml/2006/picture">
                            <pic:pic>
                              <pic:nvPicPr>
                                <pic:cNvPr descr="metrics-analysis_files/figure-docx/fig-sri-by-class-1.png" id="69" name="Picture"/>
                                <pic:cNvPicPr>
                                  <a:picLocks noChangeArrowheads="1" noChangeAspect="1"/>
                                </pic:cNvPicPr>
                              </pic:nvPicPr>
                              <pic:blipFill>
                                <a:blip r:embed="rId67"/>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70"/>
              </w:tc>
            </w:tr>
          </w:tbl>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pPr>
              <w:spacing w:after="16"/>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71">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72">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warning.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11: SRI Problem 3 - Comparison Groups and TMFD</w:t>
            </w:r>
          </w:p>
        </w:tc>
      </w:tr>
      <w:tr>
        <w:trPr>
          <w:cantSplit/>
        </w:trPr>
        <w:tc>
          <w:tcPr>
            <w:tcMar>
              <w:top w:w="108" w:type="dxa"/>
              <w:bottom w:w="108" w:type="dxa"/>
            </w:tcMar>
          </w:tcPr>
          <w:p>
            <w:pPr>
              <w:pStyle w:val="BodyText"/>
            </w:pPr>
            <w:pPr>
              <w:spacing w:before="16"/>
            </w:pPr>
            <w:r>
              <w:t xml:space="preserve">The case of Textiles, Merchandising, and Fashion Design illustrates the problem of comparison groups quite nicely.</w:t>
            </w:r>
            <w:r>
              <w:t xml:space="preserve"> </w:t>
            </w:r>
            <w:r>
              <w:t xml:space="preserve">TMFD is in the bottom quintile - ranked 25 out of 41 peers - in</w:t>
            </w:r>
            <w:r>
              <w:t xml:space="preserve"> </w:t>
            </w:r>
            <w:hyperlink w:anchor="fig-sri-percentile-all-depts">
              <w:r>
                <w:rPr>
                  <w:rStyle w:val="Hyperlink"/>
                </w:rPr>
                <w:t xml:space="preserve">Figure 4</w:t>
              </w:r>
            </w:hyperlink>
            <w:r>
              <w:t xml:space="preserve">.</w:t>
            </w:r>
            <w:r>
              <w:t xml:space="preserve"> </w:t>
            </w:r>
            <w:r>
              <w:t xml:space="preserve">Except the department should have 127 peers, because every land-grant university has a similar department.</w:t>
            </w:r>
            <w:r>
              <w:t xml:space="preserve"> </w:t>
            </w:r>
            <w:r>
              <w:t xml:space="preserve">Looking more closely, we find that the peer group for the department in Academic Analytics is listed as</w:t>
            </w:r>
            <w:r>
              <w:t xml:space="preserve"> </w:t>
            </w:r>
            <w:r>
              <w:t xml:space="preserve">“Consumer and Human Sciences, various”</w:t>
            </w:r>
            <w:r>
              <w:t xml:space="preserve">.</w:t>
            </w:r>
            <w:r>
              <w:t xml:space="preserve"> </w:t>
            </w:r>
            <w:r>
              <w:t xml:space="preserve">Word of caution: whenever someone describes your work as</w:t>
            </w:r>
            <w:r>
              <w:t xml:space="preserve"> </w:t>
            </w:r>
            <w:r>
              <w:t xml:space="preserve">‘something with’</w:t>
            </w:r>
            <w:r>
              <w:t xml:space="preserve">,</w:t>
            </w:r>
            <w:r>
              <w:t xml:space="preserve"> </w:t>
            </w:r>
            <w:r>
              <w:t xml:space="preserve">‘various’</w:t>
            </w:r>
            <w:r>
              <w:t xml:space="preserve">, or</w:t>
            </w:r>
            <w:r>
              <w:t xml:space="preserve"> </w:t>
            </w:r>
            <w:r>
              <w:t xml:space="preserve">‘whatever’</w:t>
            </w:r>
            <w:r>
              <w:t xml:space="preserve">, they don’t really know what you are doing.</w:t>
            </w:r>
            <w:r>
              <w:t xml:space="preserve"> </w:t>
            </w:r>
            <w:r>
              <w:t xml:space="preserve">So why doesn’t Academic Analytics know what TMDF does?</w:t>
            </w:r>
          </w:p>
          <w:p>
            <w:pPr>
              <w:pStyle w:val="BodyText"/>
            </w:pPr>
            <w:r>
              <w:t xml:space="preserve">Academic Analytics uses CIP (Classification of Instructional Programs) codes defined by the National Center for Education Statistics to create peer groups.</w:t>
            </w:r>
            <w:r>
              <w:t xml:space="preserve"> </w:t>
            </w:r>
            <w:r>
              <w:t xml:space="preserve">Merely glancing over the</w:t>
            </w:r>
            <w:r>
              <w:t xml:space="preserve"> </w:t>
            </w:r>
            <w:hyperlink r:id="rId75">
              <w:r>
                <w:rPr>
                  <w:rStyle w:val="Hyperlink"/>
                </w:rPr>
                <w:t xml:space="preserve">Textile related cip codes</w:t>
              </w:r>
            </w:hyperlink>
            <w:r>
              <w:t xml:space="preserve">, it is clear that there are more fitting choices than</w:t>
            </w:r>
            <w:r>
              <w:t xml:space="preserve"> </w:t>
            </w:r>
            <w:r>
              <w:t xml:space="preserve">‘Consumer and Human Sciences, various’</w:t>
            </w:r>
            <w: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CIP Code</w:t>
                  </w:r>
                </w:p>
              </w:tc>
              <w:tc>
                <w:tcPr/>
                <w:p>
                  <w:pPr>
                    <w:pStyle w:val="Compact"/>
                  </w:pPr>
                  <w:r>
                    <w:t xml:space="preserve">Program Name</w:t>
                  </w:r>
                </w:p>
              </w:tc>
            </w:tr>
            <w:tr>
              <w:tc>
                <w:tcPr/>
                <w:p>
                  <w:pPr>
                    <w:pStyle w:val="Compact"/>
                  </w:pPr>
                  <w:r>
                    <w:t xml:space="preserve">19.0901</w:t>
                  </w:r>
                </w:p>
              </w:tc>
              <w:tc>
                <w:tcPr/>
                <w:p>
                  <w:pPr>
                    <w:pStyle w:val="Compact"/>
                  </w:pPr>
                  <w:r>
                    <w:t xml:space="preserve">Apparel and Textiles, General</w:t>
                  </w:r>
                </w:p>
              </w:tc>
            </w:tr>
            <w:tr>
              <w:tc>
                <w:tcPr/>
                <w:p>
                  <w:pPr>
                    <w:pStyle w:val="Compact"/>
                  </w:pPr>
                  <w:r>
                    <w:t xml:space="preserve">19.0902</w:t>
                  </w:r>
                </w:p>
              </w:tc>
              <w:tc>
                <w:tcPr/>
                <w:p>
                  <w:pPr>
                    <w:pStyle w:val="Compact"/>
                  </w:pPr>
                  <w:r>
                    <w:t xml:space="preserve">Apparel and Textile Manufacture</w:t>
                  </w:r>
                </w:p>
              </w:tc>
            </w:tr>
            <w:tr>
              <w:tc>
                <w:tcPr/>
                <w:p>
                  <w:pPr>
                    <w:pStyle w:val="Compact"/>
                  </w:pPr>
                  <w:r>
                    <w:t xml:space="preserve">19.0904</w:t>
                  </w:r>
                </w:p>
              </w:tc>
              <w:tc>
                <w:tcPr/>
                <w:p>
                  <w:pPr>
                    <w:pStyle w:val="Compact"/>
                  </w:pPr>
                  <w:r>
                    <w:t xml:space="preserve">Textile Science</w:t>
                  </w:r>
                </w:p>
              </w:tc>
            </w:tr>
            <w:tr>
              <w:tc>
                <w:tcPr/>
                <w:p>
                  <w:pPr>
                    <w:pStyle w:val="Compact"/>
                  </w:pPr>
                  <w:r>
                    <w:t xml:space="preserve">19.0905</w:t>
                  </w:r>
                </w:p>
              </w:tc>
              <w:tc>
                <w:tcPr/>
                <w:p>
                  <w:pPr>
                    <w:pStyle w:val="Compact"/>
                  </w:pPr>
                  <w:r>
                    <w:t xml:space="preserve">Apparel and Textile Marketing Management</w:t>
                  </w:r>
                </w:p>
              </w:tc>
            </w:tr>
            <w:tr>
              <w:tc>
                <w:tcPr/>
                <w:p>
                  <w:pPr>
                    <w:pStyle w:val="Compact"/>
                  </w:pPr>
                  <w:r>
                    <w:t xml:space="preserve">19.0906</w:t>
                  </w:r>
                </w:p>
              </w:tc>
              <w:tc>
                <w:tcPr/>
                <w:p>
                  <w:pPr>
                    <w:pStyle w:val="Compact"/>
                  </w:pPr>
                  <w:r>
                    <w:t xml:space="preserve">Fashion and Fabric Consultant</w:t>
                  </w:r>
                </w:p>
              </w:tc>
            </w:tr>
            <w:tr>
              <w:tc>
                <w:tcPr/>
                <w:p>
                  <w:pPr>
                    <w:pStyle w:val="Compact"/>
                  </w:pPr>
                  <w:r>
                    <w:t xml:space="preserve">19.0999</w:t>
                  </w:r>
                </w:p>
              </w:tc>
              <w:tc>
                <w:tcPr/>
                <w:p>
                  <w:pPr>
                    <w:pStyle w:val="Compact"/>
                  </w:pPr>
                  <w:r>
                    <w:t xml:space="preserve">Apparel and Textiles, Other</w:t>
                  </w:r>
                </w:p>
              </w:tc>
            </w:tr>
          </w:tbl>
          <w:p>
            <w:pPr>
              <w:pStyle w:val="BodyText"/>
            </w:pPr>
            <w:r>
              <w:t xml:space="preserve">So why does Academic Analytics not pick a better peer group for comparisons?</w:t>
            </w:r>
          </w:p>
          <w:p>
            <w:pPr>
              <w:pStyle w:val="BodyText"/>
            </w:pPr>
            <w:r>
              <w:t xml:space="preserve">It turns out, that Academic Analytics relies on the submitting organization to provide CIP codes:</w:t>
            </w:r>
          </w:p>
          <w:p>
            <w:pPr>
              <w:pStyle w:val="BlockText"/>
            </w:pPr>
            <w:r>
              <w:t xml:space="preserve">CIP Codes (to units and Ph.D. programs as classified in institution’s system)</w:t>
            </w:r>
            <w:r>
              <w:t xml:space="preserve"> </w:t>
            </w:r>
            <w:r>
              <w:t xml:space="preserve">Note that while CIP Codes are referenced in the creation of the Academic Analytics Taxonomy and are requested in the submission instructions, they are currently used for reference only.</w:t>
            </w:r>
            <w:r>
              <w:t xml:space="preserve"> </w:t>
            </w:r>
            <w:r>
              <w:t xml:space="preserve">Reporting by CIP is not available.</w:t>
            </w:r>
            <w:r>
              <w:t xml:space="preserve"> </w:t>
            </w:r>
            <w:r>
              <w:t xml:space="preserve">Not all requested fields are available in the comparative database.</w:t>
            </w:r>
            <w:r>
              <w:t xml:space="preserve"> </w:t>
            </w:r>
            <w:r>
              <w:t xml:space="preserve">Some data remain incomplete because institutions have not submitted those fields.</w:t>
            </w:r>
            <w:r>
              <w:t xml:space="preserve"> </w:t>
            </w:r>
            <w:r>
              <w:t xml:space="preserve">However, they are archived because they may prove useful for clients and Academic Analytics, particularly in the data matching processes.</w:t>
            </w:r>
          </w:p>
          <w:p>
            <w:pPr>
              <w:pStyle w:val="FirstParagraph"/>
            </w:pPr>
            <w:pPr>
              <w:spacing w:after="16"/>
            </w:pPr>
            <w:r>
              <w:t xml:space="preserve">So, at some point someone at UNL listed TMFD as</w:t>
            </w:r>
            <w:r>
              <w:t xml:space="preserve"> </w:t>
            </w:r>
            <w:r>
              <w:t xml:space="preserve">“Consumer and Human Sciences, various”</w:t>
            </w:r>
            <w:r>
              <w:t xml:space="preserve"> </w:t>
            </w:r>
            <w:r>
              <w:t xml:space="preserve">instead of the proper CIP code, and it is TMFD’s job to find the error, get someone in ORI to listen to the problem and fix the error, and then hope that the metrics are updated before their APC hearing.</w:t>
            </w:r>
            <w:r>
              <w:t xml:space="preserve"> </w:t>
            </w:r>
            <w:r>
              <w:t xml:space="preserve">Ultimately, there just is not enough time for that process to occur, even if ORI was willing to engage and fix the analysis.</w:t>
            </w:r>
          </w:p>
        </w:tc>
      </w:tr>
    </w:tbl>
    <w:bookmarkEnd w:id="76"/>
    <w:bookmarkStart w:id="80" w:name="awards"/>
    <w:p>
      <w:pPr>
        <w:pStyle w:val="Heading2"/>
      </w:pPr>
      <w:r>
        <w:t xml:space="preserve">2.2 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opt/quarto/share/formats/docx/warning.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12</w:t>
            </w:r>
          </w:p>
        </w:tc>
      </w:tr>
      <w:tr>
        <w:trPr>
          <w:cantSplit/>
        </w:trPr>
        <w:tc>
          <w:tcPr>
            <w:tcMar>
              <w:top w:w="108" w:type="dxa"/>
              <w:bottom w:w="108" w:type="dxa"/>
            </w:tcMar>
          </w:tcPr>
          <w:p>
            <w:pPr>
              <w:pStyle w:val="BodyText"/>
            </w:pPr>
            <w:pPr>
              <w:spacing w:before="16" w:after="16"/>
            </w:pPr>
            <w:r>
              <w:t xml:space="preserve">Award comparisons should be made within discipline, not across disciplines, as the AAU list of prestigious awards does not include the</w:t>
            </w:r>
            <w:r>
              <w:t xml:space="preserve"> </w:t>
            </w:r>
            <w:hyperlink r:id="rId79">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80"/>
    <w:bookmarkStart w:id="83" w:name="books"/>
    <w:p>
      <w:pPr>
        <w:pStyle w:val="Heading2"/>
      </w:pPr>
      <w:r>
        <w:t xml:space="preserve">2.3 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warning.png" id="8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13: Book Disciplines and Book Data</w:t>
            </w:r>
          </w:p>
        </w:tc>
      </w:tr>
      <w:tr>
        <w:trPr>
          <w:cantSplit/>
        </w:trPr>
        <w:tc>
          <w:tcPr>
            <w:tcMar>
              <w:top w:w="108" w:type="dxa"/>
              <w:bottom w:w="108" w:type="dxa"/>
            </w:tcMar>
          </w:tcPr>
          <w:p>
            <w:pPr>
              <w:pStyle w:val="BodyText"/>
            </w:pPr>
            <w:pPr>
              <w:spacing w:before="16"/>
            </w:pPr>
            <w:r>
              <w:t xml:space="preserve">While the book data from Academic Analytics is overall quite high quality, it does have some issues in that it is dependent on publisher reporting.</w:t>
            </w:r>
            <w:r>
              <w:t xml:space="preserve"> </w:t>
            </w:r>
            <w:r>
              <w:t xml:space="preserve">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r>
              <w:t xml:space="preserve">Books published by faculty members in the department during the decade-long interval are not included if the faculty member left the department or retired before 2024, despite the fact that these individuals contributed to the reputation of the department during the decade of interest.</w:t>
            </w:r>
            <w:r>
              <w:t xml:space="preserve"> </w:t>
            </w:r>
            <w:r>
              <w:t xml:space="preserve">Dr. Walter Stroup published 3 extremely well-respected and popular books between 2014 and 2023, but these are not counted in the department metrics, even though Dr. Stroup was a past chair of the department and is an important part of our reputation for excellence, even after his retirement.</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number of tenure-track FTEs.</w:t>
            </w:r>
          </w:p>
        </w:tc>
      </w:tr>
    </w:tbl>
    <w:bookmarkEnd w:id="83"/>
    <w:bookmarkStart w:id="91" w:name="citations"/>
    <w:p>
      <w:pPr>
        <w:pStyle w:val="Heading2"/>
      </w:pPr>
      <w:r>
        <w:t xml:space="preserve">2.4 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opt/quarto/share/formats/docx/warning.png" id="8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14: Citation Window</w:t>
            </w:r>
          </w:p>
        </w:tc>
      </w:tr>
      <w:tr>
        <w:trPr>
          <w:cantSplit/>
        </w:trPr>
        <w:tc>
          <w:tcPr>
            <w:tcMar>
              <w:top w:w="108" w:type="dxa"/>
              <w:bottom w:w="108" w:type="dxa"/>
            </w:tcMar>
          </w:tcPr>
          <w:p>
            <w:pPr>
              <w:pStyle w:val="BodyText"/>
            </w:pPr>
            <w:pPr>
              <w:spacing w:before="16"/>
            </w:pPr>
            <w:r>
              <w:t xml:space="preserve">The choice to use Academic Analytics citations is not discipline-neutral.</w:t>
            </w:r>
            <w:r>
              <w:t xml:space="preserve"> </w:t>
            </w:r>
            <w:r>
              <w:t xml:space="preserve">The InCites citation window is 10 years, which is long enough for most disciplines.</w:t>
            </w:r>
            <w:r>
              <w:t xml:space="preserve"> </w:t>
            </w:r>
            <w:r>
              <w:t xml:space="preserve">However, Academic Analytics citation counts for the statistics department are lower than the corresponding citation counts from InCites – 77 vs. 127 for Susan Vanderplas, for example.</w:t>
            </w:r>
            <w:r>
              <w:t xml:space="preserve"> </w:t>
            </w:r>
            <w:r>
              <w:t xml:space="preserve">In some disciplines (statistics, math),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86">
              <w:r>
                <w:rPr>
                  <w:rStyle w:val="Hyperlink"/>
                </w:rPr>
                <w:t xml:space="preserve">http://dx.doi.org/10.2139/ssrn.2964565</w:t>
              </w:r>
            </w:hyperlink>
          </w:p>
          <w:p>
            <w:pPr>
              <w:pStyle w:val="FirstParagraph"/>
            </w:pPr>
            <w:pPr>
              <w:spacing w:after="16"/>
            </w:pPr>
            <w:r>
              <w:t xml:space="preserve">When interpreting 10-year citation counts, it is also important to consider the age of the department.</w:t>
            </w:r>
            <w:r>
              <w:t xml:space="preserve"> </w:t>
            </w:r>
            <w:r>
              <w:t xml:space="preserve">For instance, consider Dr. Vanderplas, who received her Ph.D. in 2015. It is unlikely that she had any highly cited papers before she received her Ph.D., and even unlikely in the years immediately after receiving her Ph.D., as young researchers are often not cited as frequently as more established colleagues.</w:t>
            </w:r>
            <w:r>
              <w:t xml:space="preserve"> </w:t>
            </w:r>
            <w:r>
              <w:t xml:space="preserve">A department made up of primarily assistant and associate professors will be at a very large disadvantage relative to more established departments.</w:t>
            </w:r>
            <w:r>
              <w:t xml:space="preserve"> </w:t>
            </w:r>
            <w:r>
              <w:t xml:space="preserve">If the number of people in the department is also small, the variability in citation counts also becomes a factor.</w:t>
            </w:r>
          </w:p>
        </w:tc>
      </w:tr>
    </w:tbl>
    <w:p>
      <w:pPr>
        <w:pStyle w:val="BodyText"/>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opt/quarto/share/formats/docx/warning.png" id="8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15: Citation normalization</w:t>
            </w:r>
          </w:p>
        </w:tc>
      </w:tr>
      <w:tr>
        <w:trPr>
          <w:cantSplit/>
        </w:trPr>
        <w:tc>
          <w:tcPr>
            <w:tcMar>
              <w:top w:w="108" w:type="dxa"/>
              <w:bottom w:w="108" w:type="dxa"/>
            </w:tcMar>
          </w:tcPr>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opt/quarto/share/formats/docx/warning.png" id="9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16: Citation counts</w:t>
            </w:r>
          </w:p>
        </w:tc>
      </w:tr>
      <w:tr>
        <w:trPr>
          <w:cantSplit/>
        </w:trPr>
        <w:tc>
          <w:tcPr>
            <w:tcMar>
              <w:top w:w="108" w:type="dxa"/>
              <w:bottom w:w="108" w:type="dxa"/>
            </w:tcMar>
          </w:tcPr>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91"/>
    <w:bookmarkStart w:id="98" w:name="research-awards-inc-nuf"/>
    <w:p>
      <w:pPr>
        <w:pStyle w:val="Heading2"/>
      </w:pPr>
      <w:r>
        <w:t xml:space="preserve">2.5 Research Awards Inc NUF</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warning.png" id="9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17: Grant Metric Problems</w:t>
            </w:r>
          </w:p>
        </w:tc>
      </w:tr>
      <w:tr>
        <w:trPr>
          <w:cantSplit/>
        </w:trPr>
        <w:tc>
          <w:tcPr>
            <w:tcMar>
              <w:top w:w="108" w:type="dxa"/>
              <w:bottom w:w="108" w:type="dxa"/>
            </w:tcMar>
          </w:tcPr>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94"/>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95">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warning.png" id="9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18: Problems with</w:t>
            </w:r>
            <w:r>
              <w:t xml:space="preserve"> </w:t>
            </w:r>
            <w:r>
              <w:rPr>
                <w:rStyle w:val="VerbatimChar"/>
              </w:rPr>
              <w:t xml:space="preserve">research_awards_growth_inc_nuf_fy20_fy24</w:t>
            </w:r>
          </w:p>
        </w:tc>
      </w:tr>
      <w:tr>
        <w:trPr>
          <w:cantSplit/>
        </w:trPr>
        <w:tc>
          <w:tcPr>
            <w:tcMar>
              <w:top w:w="108" w:type="dxa"/>
              <w:bottom w:w="108" w:type="dxa"/>
            </w:tcMar>
          </w:tcPr>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 </w:t>
            </w:r>
            <w:r>
              <w:t xml:space="preserve">(and its instructional companion,</w:t>
            </w:r>
            <w:r>
              <w:t xml:space="preserve"> </w:t>
            </w:r>
            <w:r>
              <w:rPr>
                <w:rStyle w:val="VerbatimChar"/>
              </w:rPr>
              <w:t xml:space="preserve">instructional_sch_4Y_share_growth</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98"/>
    <w:bookmarkStart w:id="101" w:name="Xf666d5ee7bfafa23ec7b5f18f615f87143aaef7"/>
    <w:p>
      <w:pPr>
        <w:pStyle w:val="Heading2"/>
      </w:pPr>
      <w:r>
        <w:t xml:space="preserve">2.6 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opt/quarto/share/formats/docx/warning.png" id="10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19: Problems with total_sponsored_awards_inc_nuf_rsch_pub_serv_teach_avg_awards_budget</w:t>
            </w:r>
          </w:p>
        </w:tc>
      </w:tr>
      <w:tr>
        <w:trPr>
          <w:cantSplit/>
        </w:trPr>
        <w:tc>
          <w:tcPr>
            <w:tcMar>
              <w:top w:w="108" w:type="dxa"/>
              <w:bottom w:w="108" w:type="dxa"/>
            </w:tcMar>
          </w:tcPr>
          <w:p>
            <w:pPr>
              <w:pStyle w:val="BodyText"/>
            </w:pPr>
            <w:pPr>
              <w:spacing w:before="16" w:after="16"/>
            </w:pPr>
            <w:r>
              <w:t xml:space="preserve">It’s unclear why the</w:t>
            </w:r>
            <w:r>
              <w:t xml:space="preserve"> </w:t>
            </w:r>
            <w:r>
              <w:rPr>
                <w:rStyle w:val="VerbatimChar"/>
              </w:rPr>
              <w:t xml:space="preserve">total_sponsored_awards_inc_nuf_rsch_pub_serv_teach_avg_awards_budget</w:t>
            </w:r>
            <w:r>
              <w:t xml:space="preserve"> </w:t>
            </w:r>
            <w:r>
              <w:t xml:space="preserve">indicator was divided by total state appropriated budget, but the numbers for Statistics grants are all over the place.</w:t>
            </w:r>
            <w:r>
              <w:t xml:space="preserve"> </w:t>
            </w:r>
            <w:r>
              <w:t xml:space="preserve">For instance, if we multiply the 0.362 value for statistics (before it is converted to a z-score) by the state permanent budget from 2025-26, we get 4.8118524</w:t>
            </w:r>
            <w:r>
              <w:t xml:space="preserve">^{5}.</w:t>
            </w:r>
            <w:r>
              <w:t xml:space="preserve"> </w:t>
            </w:r>
            <w:r>
              <w:t xml:space="preserve">One PI in the department brought in 1.2 million dollars in grant money during the 2020-2024 period.</w:t>
            </w:r>
            <w:r>
              <w:t xml:space="preserve"> </w:t>
            </w:r>
            <w:r>
              <w:t xml:space="preserve">Thus, we have had a difficult time validating these numbers in any way.</w:t>
            </w:r>
          </w:p>
        </w:tc>
      </w:tr>
    </w:tbl>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101"/>
    <w:bookmarkStart w:id="102" w:name="p1-expenditures"/>
    <w:p>
      <w:pPr>
        <w:pStyle w:val="Heading2"/>
      </w:pPr>
      <w:r>
        <w:t xml:space="preserve">2.7 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102"/>
    <w:bookmarkEnd w:id="103"/>
    <w:bookmarkStart w:id="123" w:name="teaching"/>
    <w:p>
      <w:pPr>
        <w:pStyle w:val="Heading1"/>
      </w:pPr>
      <w:r>
        <w:t xml:space="preserve">3. Teaching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04" name="Picture"/>
                  <a:graphic>
                    <a:graphicData uri="http://schemas.openxmlformats.org/drawingml/2006/picture">
                      <pic:pic>
                        <pic:nvPicPr>
                          <pic:cNvPr descr="/opt/quarto/share/formats/docx/warning.png" id="10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20: Data Lockout and Validation</w:t>
            </w:r>
          </w:p>
        </w:tc>
      </w:tr>
      <w:tr>
        <w:trPr>
          <w:cantSplit/>
        </w:trPr>
        <w:tc>
          <w:tcPr>
            <w:tcMar>
              <w:top w:w="108" w:type="dxa"/>
              <w:bottom w:w="108" w:type="dxa"/>
            </w:tcMar>
          </w:tcPr>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106">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111" w:name="enrollment"/>
    <w:p>
      <w:pPr>
        <w:pStyle w:val="Heading3"/>
      </w:pPr>
      <w:r>
        <w:t xml:space="preserve">3.0.1 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warning.png" id="10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21: Completions to Majors for New Programs</w:t>
            </w:r>
          </w:p>
        </w:tc>
      </w:tr>
      <w:tr>
        <w:trPr>
          <w:cantSplit/>
        </w:trPr>
        <w:tc>
          <w:tcPr>
            <w:tcMar>
              <w:top w:w="108" w:type="dxa"/>
              <w:bottom w:w="108" w:type="dxa"/>
            </w:tcMar>
          </w:tcPr>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opt/quarto/share/formats/docx/warning.png" id="11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22: Graduation Rates Shouldn’t Be Pooled</w:t>
            </w:r>
          </w:p>
        </w:tc>
      </w:tr>
      <w:tr>
        <w:trPr>
          <w:cantSplit/>
        </w:trPr>
        <w:tc>
          <w:tcPr>
            <w:tcMar>
              <w:top w:w="108" w:type="dxa"/>
              <w:bottom w:w="108" w:type="dxa"/>
            </w:tcMar>
          </w:tcPr>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111"/>
    <w:bookmarkStart w:id="119" w:name="sch-tuition"/>
    <w:p>
      <w:pPr>
        <w:pStyle w:val="Heading2"/>
      </w:pPr>
      <w:r>
        <w:t xml:space="preserve">3.1 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12" name="Picture"/>
                  <a:graphic>
                    <a:graphicData uri="http://schemas.openxmlformats.org/drawingml/2006/picture">
                      <pic:pic>
                        <pic:nvPicPr>
                          <pic:cNvPr descr="/opt/quarto/share/formats/docx/warning.png" id="11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23: 2020 anomalies</w:t>
            </w:r>
          </w:p>
        </w:tc>
      </w:tr>
      <w:tr>
        <w:trPr>
          <w:cantSplit/>
        </w:trPr>
        <w:tc>
          <w:tcPr>
            <w:tcMar>
              <w:top w:w="108" w:type="dxa"/>
              <w:bottom w:w="108" w:type="dxa"/>
            </w:tcMar>
          </w:tcPr>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4"/>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4"/>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4"/>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115" name="Picture"/>
            <a:graphic>
              <a:graphicData uri="http://schemas.openxmlformats.org/drawingml/2006/picture">
                <pic:pic>
                  <pic:nvPicPr>
                    <pic:cNvPr descr="images/instructional-sch-calc.png" id="116" name="Picture"/>
                    <pic:cNvPicPr>
                      <a:picLocks noChangeArrowheads="1" noChangeAspect="1"/>
                    </pic:cNvPicPr>
                  </pic:nvPicPr>
                  <pic:blipFill>
                    <a:blip r:embed="rId114"/>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warning.png" id="11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24: Problem:</w:t>
            </w:r>
            <w:r>
              <w:t xml:space="preserve"> </w:t>
            </w:r>
            <w:r>
              <w:rPr>
                <w:rStyle w:val="VerbatimChar"/>
              </w:rPr>
              <w:t xml:space="preserve">instructional_sch_4Y_share_growth</w:t>
            </w:r>
          </w:p>
        </w:tc>
      </w:tr>
      <w:tr>
        <w:trPr>
          <w:cantSplit/>
        </w:trPr>
        <w:tc>
          <w:tcPr>
            <w:tcMar>
              <w:top w:w="108" w:type="dxa"/>
              <w:bottom w:w="108" w:type="dxa"/>
            </w:tcMar>
          </w:tcPr>
          <w:p>
            <w:pPr>
              <w:pStyle w:val="BodyText"/>
            </w:pPr>
            <w:pPr>
              <w:spacing w:before="16"/>
            </w:pPr>
            <w:r>
              <w:t xml:space="preserve">This is another variable which is likely Cauchy distributed (see</w:t>
            </w:r>
            <w:r>
              <w:t xml:space="preserve"> </w:t>
            </w:r>
            <w:hyperlink w:anchor="wrn-cauchy-research">
              <w:r>
                <w:rPr>
                  <w:rStyle w:val="Hyperlink"/>
                </w:rPr>
                <w:t xml:space="preserve">Warning 18</w:t>
              </w:r>
            </w:hyperlink>
            <w:r>
              <w:t xml:space="preserve">), that is, it is the statistical equivalent of dividing by zero - the mean of the numerator is likely to be zero (in distribution) and the mean of the denominator is likely to be zero (in distribution) – each year’s SCH would be expected to be sampled from the same distribution at the department and university level.</w:t>
            </w:r>
          </w:p>
          <w:p>
            <w:pPr>
              <w:pStyle w:val="BodyText"/>
            </w:pPr>
            <w:r>
              <w:t xml:space="preserve">The problem is that these variables do not have a distribution mean and have infinite variance.</w:t>
            </w:r>
            <w:r>
              <w:t xml:space="preserve"> </w:t>
            </w:r>
            <w:r>
              <w:t xml:space="preserve">It is obviously possible to take the average of observations from this distribution, but the average will never converge (unlike samples from almost any other distribution - the average of an increasing number of samples will converge to the distribution mean, but only if the distribution has finite variance).</w:t>
            </w:r>
          </w:p>
          <w:p>
            <w:pPr>
              <w:pStyle w:val="BodyText"/>
            </w:pPr>
            <w:r>
              <w:t xml:space="preserve">Taking a variable like this, and then calculating the mean and standard deviation across departments to standardize these variables makes this even more problematic, because it removes any meaningful information in the variable.</w:t>
            </w:r>
            <w:r>
              <w:t xml:space="preserve"> </w:t>
            </w:r>
            <w:r>
              <w:t xml:space="preserve">Then, averaging these z-scores as part of an omnibus instructional z-score only serves to erase any meaningful information in the instructional z-score.</w:t>
            </w:r>
          </w:p>
          <w:p>
            <w:pPr>
              <w:pStyle w:val="BodyText"/>
            </w:pPr>
            <w:r>
              <w:t xml:space="preserve">These problems exist in both the instructional and research z-scores, which renders the entire metric analysis statistically uninformative. Cauchy random variables are the bane of every statistics graduate student’s existence - they are primarily useful for counterexamples in proofs, but when they pop up in practice, they are always a pain to deal with, and if you don’t handle them correctly, they will ruin everything.</w:t>
            </w:r>
          </w:p>
          <w:p>
            <w:pPr>
              <w:pStyle w:val="BodyText"/>
            </w:pPr>
            <w:pPr>
              <w:spacing w:after="16"/>
            </w:pPr>
            <w:r>
              <w:t xml:space="preserve">Unfortunately, the UNL administration will learn this the hard way, either by acknowledging the issue and reworking the budget reduction plan, or by eliminating highly ranked and high-performing departments because of a badly-executed statistical analysis.</w:t>
            </w:r>
          </w:p>
        </w:tc>
      </w:tr>
    </w:tbl>
    <w:bookmarkEnd w:id="119"/>
    <w:bookmarkStart w:id="122" w:name="ratios"/>
    <w:p>
      <w:pPr>
        <w:pStyle w:val="Heading2"/>
      </w:pPr>
      <w:r>
        <w:t xml:space="preserve">3.2 Ratios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opt/quarto/share/formats/docx/warning.png" id="12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25: Ratios are Stochastic Nightmares</w:t>
            </w:r>
          </w:p>
        </w:tc>
      </w:tr>
      <w:tr>
        <w:trPr>
          <w:cantSplit/>
        </w:trPr>
        <w:tc>
          <w:tcPr>
            <w:tcMar>
              <w:top w:w="108" w:type="dxa"/>
              <w:bottom w:w="108" w:type="dxa"/>
            </w:tcMar>
          </w:tcPr>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122"/>
    <w:bookmarkEnd w:id="123"/>
    <w:bookmarkStart w:id="127" w:name="X37742c93d81f8ae2c1a2b0b29bc52f0cc8ee6cb"/>
    <w:p>
      <w:pPr>
        <w:pStyle w:val="Heading1"/>
      </w:pPr>
      <w:r>
        <w:t xml:space="preserve">4. 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opt/quarto/share/formats/docx/warning.png" id="1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26: Instructional Z-score Problem</w:t>
            </w:r>
          </w:p>
        </w:tc>
      </w:tr>
      <w:tr>
        <w:trPr>
          <w:cantSplit/>
        </w:trPr>
        <w:tc>
          <w:tcPr>
            <w:tcMar>
              <w:top w:w="108" w:type="dxa"/>
              <w:bottom w:w="108" w:type="dxa"/>
            </w:tcMar>
          </w:tcPr>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126">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 and it is almost certainly also true of</w:t>
            </w:r>
            <w:r>
              <w:t xml:space="preserve"> </w:t>
            </w:r>
            <w:r>
              <w:rPr>
                <w:rStyle w:val="VerbatimChar"/>
              </w:rPr>
              <w:t xml:space="preserve">instructional_sch_4Y_share_growth</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1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2">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94">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114" Target="media/rId114.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67" Target="media/rId67.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hyperlink" Id="rId10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86" Target="http://dx.doi.org/10.2139/ssrn.2964565" TargetMode="External" /><Relationship Type="http://schemas.openxmlformats.org/officeDocument/2006/relationships/hyperlink" Id="rId71" Target="https://demonstrations.wolfram.com/ConvergenceOfTheEmpiricalDistributionFunctionOfASample/" TargetMode="External" /><Relationship Type="http://schemas.openxmlformats.org/officeDocument/2006/relationships/hyperlink" Id="rId72" Target="https://en.wikipedia.org/wiki/Binomial_proportion_confidence_interval" TargetMode="External" /><Relationship Type="http://schemas.openxmlformats.org/officeDocument/2006/relationships/hyperlink" Id="rId126" Target="https://en.wikipedia.org/wiki/Ratio_distribution" TargetMode="External" /><Relationship Type="http://schemas.openxmlformats.org/officeDocument/2006/relationships/hyperlink" Id="rId95" Target="https://en.wikipedia.org/wiki/Simpson%27s_paradox" TargetMode="External" /><Relationship Type="http://schemas.openxmlformats.org/officeDocument/2006/relationships/hyperlink" Id="rId75" Target="https://nces.ed.gov/ipeds/cipcode/cipdetail.aspx?y=56&amp;cipid=90647" TargetMode="External" /><Relationship Type="http://schemas.openxmlformats.org/officeDocument/2006/relationships/hyperlink" Id="rId30" Target="https://nebraska.edu/offices-policies/business-finance/budget-and-planning" TargetMode="External" /><Relationship Type="http://schemas.openxmlformats.org/officeDocument/2006/relationships/hyperlink" Id="rId79"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10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86" Target="http://dx.doi.org/10.2139/ssrn.2964565" TargetMode="External" /><Relationship Type="http://schemas.openxmlformats.org/officeDocument/2006/relationships/hyperlink" Id="rId71" Target="https://demonstrations.wolfram.com/ConvergenceOfTheEmpiricalDistributionFunctionOfASample/" TargetMode="External" /><Relationship Type="http://schemas.openxmlformats.org/officeDocument/2006/relationships/hyperlink" Id="rId72" Target="https://en.wikipedia.org/wiki/Binomial_proportion_confidence_interval" TargetMode="External" /><Relationship Type="http://schemas.openxmlformats.org/officeDocument/2006/relationships/hyperlink" Id="rId126" Target="https://en.wikipedia.org/wiki/Ratio_distribution" TargetMode="External" /><Relationship Type="http://schemas.openxmlformats.org/officeDocument/2006/relationships/hyperlink" Id="rId95" Target="https://en.wikipedia.org/wiki/Simpson%27s_paradox" TargetMode="External" /><Relationship Type="http://schemas.openxmlformats.org/officeDocument/2006/relationships/hyperlink" Id="rId75" Target="https://nces.ed.gov/ipeds/cipcode/cipdetail.aspx?y=56&amp;cipid=90647" TargetMode="External" /><Relationship Type="http://schemas.openxmlformats.org/officeDocument/2006/relationships/hyperlink" Id="rId30" Target="https://nebraska.edu/offices-policies/business-finance/budget-and-planning" TargetMode="External" /><Relationship Type="http://schemas.openxmlformats.org/officeDocument/2006/relationships/hyperlink" Id="rId79"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the Metrics Used in the 2025 Budget Reduction Proposal</dc:title>
  <dc:creator/>
  <cp:keywords/>
  <dcterms:created xsi:type="dcterms:W3CDTF">2025-10-06T19:05:27Z</dcterms:created>
  <dcterms:modified xsi:type="dcterms:W3CDTF">2025-10-06T19:05:27Z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