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24.png" ContentType="image/png"/>
  <Override PartName="/word/media/rId56.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35" w:name="general-descriptors"/>
    <w:p>
      <w:pPr>
        <w:pStyle w:val="Heading1"/>
      </w:pPr>
      <w:r>
        <w:t xml:space="preserve">1. General Descriptors</w:t>
      </w:r>
    </w:p>
    <w:bookmarkStart w:id="21"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1"/>
    <w:bookmarkStart w:id="22"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2"/>
    <w:bookmarkStart w:id="34"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3">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7" w:name="fig-salary-sources"/>
                <w:p>
                  <w:pPr>
                    <w:pStyle w:val="Compact"/>
                    <w:jc w:val="center"/>
                  </w:pPr>
                  <w:r>
                    <w:drawing>
                      <wp:inline>
                        <wp:extent cx="5334000" cy="366227"/>
                        <wp:effectExtent b="0" l="0" r="0" t="0"/>
                        <wp:docPr descr="" title="" id="25" name="Picture"/>
                        <a:graphic>
                          <a:graphicData uri="http://schemas.openxmlformats.org/drawingml/2006/picture">
                            <pic:pic>
                              <pic:nvPicPr>
                                <pic:cNvPr descr="images/salary-position-info.png" id="26" name="Picture"/>
                                <pic:cNvPicPr>
                                  <a:picLocks noChangeArrowheads="1" noChangeAspect="1"/>
                                </pic:cNvPicPr>
                              </pic:nvPicPr>
                              <pic:blipFill>
                                <a:blip r:embed="rId24"/>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7"/>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2" w:name="fig-position-information"/>
                <w:p>
                  <w:pPr>
                    <w:pStyle w:val="Compact"/>
                    <w:jc w:val="center"/>
                  </w:pPr>
                  <w:bookmarkStart w:id="31" w:name="fig-position-information"/>
                  <w:r>
                    <w:drawing>
                      <wp:inline>
                        <wp:extent cx="4792133" cy="482757"/>
                        <wp:effectExtent b="0" l="0" r="0" t="0"/>
                        <wp:docPr descr="" title="" id="29" name="Picture"/>
                        <a:graphic>
                          <a:graphicData uri="http://schemas.openxmlformats.org/drawingml/2006/picture">
                            <pic:pic>
                              <pic:nvPicPr>
                                <pic:cNvPr descr="images/roster-position-info.png" id="30" name="Picture"/>
                                <pic:cNvPicPr>
                                  <a:picLocks noChangeArrowheads="1" noChangeAspect="1"/>
                                </pic:cNvPicPr>
                              </pic:nvPicPr>
                              <pic:blipFill>
                                <a:blip r:embed="rId28"/>
                                <a:stretch>
                                  <a:fillRect/>
                                </a:stretch>
                              </pic:blipFill>
                              <pic:spPr bwMode="auto">
                                <a:xfrm>
                                  <a:off x="0" y="0"/>
                                  <a:ext cx="4792133" cy="482757"/>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3"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3"/>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4"/>
    <w:bookmarkEnd w:id="35"/>
    <w:bookmarkStart w:id="43" w:name="teaching"/>
    <w:p>
      <w:pPr>
        <w:pStyle w:val="Heading1"/>
      </w:pPr>
      <w:r>
        <w:t xml:space="preserve">2. 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7" w:name="enrollment"/>
    <w:p>
      <w:pPr>
        <w:pStyle w:val="Heading2"/>
      </w:pPr>
      <w:r>
        <w:t xml:space="preserve">2.1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7"/>
    <w:bookmarkStart w:id="41" w:name="sch-tuition"/>
    <w:p>
      <w:pPr>
        <w:pStyle w:val="Heading2"/>
      </w:pPr>
      <w:r>
        <w:t xml:space="preserve">2.2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9" name="Picture"/>
            <a:graphic>
              <a:graphicData uri="http://schemas.openxmlformats.org/drawingml/2006/picture">
                <pic:pic>
                  <pic:nvPicPr>
                    <pic:cNvPr descr="images/instructional-sch-calc.png" id="40" name="Picture"/>
                    <pic:cNvPicPr>
                      <a:picLocks noChangeArrowheads="1" noChangeAspect="1"/>
                    </pic:cNvPicPr>
                  </pic:nvPicPr>
                  <pic:blipFill>
                    <a:blip r:embed="rId38"/>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1"/>
    <w:bookmarkStart w:id="42" w:name="ratios"/>
    <w:p>
      <w:pPr>
        <w:pStyle w:val="Heading2"/>
      </w:pPr>
      <w:r>
        <w:t xml:space="preserve">2.3 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2"/>
    <w:bookmarkEnd w:id="43"/>
    <w:bookmarkStart w:id="71" w:name="research"/>
    <w:p>
      <w:pPr>
        <w:pStyle w:val="Heading1"/>
      </w:pPr>
      <w:r>
        <w:t xml:space="preserve">3. 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60" w:name="sri"/>
    <w:p>
      <w:pPr>
        <w:pStyle w:val="Heading2"/>
      </w:pPr>
      <w:r>
        <w:t xml:space="preserve">3.1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7" w:name="fig-sri-multi-values"/>
                <w:p>
                  <w:pPr>
                    <w:pStyle w:val="Compact"/>
                    <w:jc w:val="center"/>
                  </w:pPr>
                  <w:r>
                    <w:drawing>
                      <wp:inline>
                        <wp:extent cx="5334000" cy="6667500"/>
                        <wp:effectExtent b="0" l="0" r="0" t="0"/>
                        <wp:docPr descr="" title="" id="45" name="Picture"/>
                        <a:graphic>
                          <a:graphicData uri="http://schemas.openxmlformats.org/drawingml/2006/picture">
                            <pic:pic>
                              <pic:nvPicPr>
                                <pic:cNvPr descr="metrics-analysis_files/figure-docx/fig-sri-multi-values-1.png" id="46" name="Picture"/>
                                <pic:cNvPicPr>
                                  <a:picLocks noChangeArrowheads="1" noChangeAspect="1"/>
                                </pic:cNvPicPr>
                              </pic:nvPicPr>
                              <pic:blipFill>
                                <a:blip r:embed="rId44"/>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7"/>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8"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8"/>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9"/>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50">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1">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5" w:name="fig-sri-percentile-all-depts"/>
                <w:p>
                  <w:pPr>
                    <w:pStyle w:val="Compact"/>
                    <w:jc w:val="center"/>
                  </w:pPr>
                  <w:r>
                    <w:drawing>
                      <wp:inline>
                        <wp:extent cx="5334000" cy="6667500"/>
                        <wp:effectExtent b="0" l="0" r="0" t="0"/>
                        <wp:docPr descr="" title="" id="53" name="Picture"/>
                        <a:graphic>
                          <a:graphicData uri="http://schemas.openxmlformats.org/drawingml/2006/picture">
                            <pic:pic>
                              <pic:nvPicPr>
                                <pic:cNvPr descr="metrics-analysis_files/figure-docx/fig-sri-percentile-all-depts-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sri-by-class"/>
                <w:p>
                  <w:pPr>
                    <w:pStyle w:val="Compact"/>
                    <w:jc w:val="center"/>
                  </w:pPr>
                  <w:r>
                    <w:drawing>
                      <wp:inline>
                        <wp:extent cx="5334000" cy="4000500"/>
                        <wp:effectExtent b="0" l="0" r="0" t="0"/>
                        <wp:docPr descr="" title="" id="57" name="Picture"/>
                        <a:graphic>
                          <a:graphicData uri="http://schemas.openxmlformats.org/drawingml/2006/picture">
                            <pic:pic>
                              <pic:nvPicPr>
                                <pic:cNvPr descr="metrics-analysis_files/figure-docx/fig-sri-by-class-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9"/>
              </w:tc>
            </w:tr>
          </w:tbl>
        </w:tc>
      </w:tr>
    </w:tbl>
    <w:bookmarkEnd w:id="60"/>
    <w:bookmarkStart w:id="62" w:name="awards"/>
    <w:p>
      <w:pPr>
        <w:pStyle w:val="Heading2"/>
      </w:pPr>
      <w:r>
        <w:t xml:space="preserve">3.2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1">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2"/>
    <w:bookmarkStart w:id="63" w:name="books"/>
    <w:p>
      <w:pPr>
        <w:pStyle w:val="Heading2"/>
      </w:pPr>
      <w:r>
        <w:t xml:space="preserve">3.3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3"/>
    <w:bookmarkStart w:id="65" w:name="citations"/>
    <w:p>
      <w:pPr>
        <w:pStyle w:val="Heading2"/>
      </w:pPr>
      <w:r>
        <w:t xml:space="preserve">3.4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4">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5"/>
    <w:bookmarkStart w:id="68" w:name="research-awards-inc-nuf"/>
    <w:p>
      <w:pPr>
        <w:pStyle w:val="Heading2"/>
      </w:pPr>
      <w:r>
        <w:t xml:space="preserve">3.5 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6"/>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7">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8"/>
    <w:bookmarkStart w:id="69" w:name="Xf666d5ee7bfafa23ec7b5f18f615f87143aaef7"/>
    <w:p>
      <w:pPr>
        <w:pStyle w:val="Heading2"/>
      </w:pPr>
      <w:r>
        <w:t xml:space="preserve">3.6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 total_sponsored_awards_inc_nuf_rsch_pub_serv_teach_avg_awards_budget</w:t>
            </w:r>
          </w:p>
          <w:p>
            <w:pPr>
              <w:pStyle w:val="BodyText"/>
            </w:pPr>
            <w:pPr>
              <w:spacing w:before="16" w:after="16"/>
            </w:pPr>
            <w:r>
              <w:t xml:space="preserve">It’s unclear why the</w:t>
            </w:r>
            <w:r>
              <w:t xml:space="preserve"> </w:t>
            </w:r>
            <w:r>
              <w:rPr>
                <w:rStyle w:val="VerbatimChar"/>
              </w:rPr>
              <w:t xml:space="preserve">total_sponsored_awards_inc_nuf_rsch_pub_serv_teach_avg_awards_budget</w:t>
            </w:r>
            <w:r>
              <w:t xml:space="preserve"> </w:t>
            </w:r>
            <w:r>
              <w:t xml:space="preserve">indicator was divided by total state appropriated budget, but the numbers for Statistics grants are all over the place.</w:t>
            </w:r>
            <w:r>
              <w:t xml:space="preserve"> </w:t>
            </w:r>
            <w:r>
              <w:t xml:space="preserve">For instance, if we multiply the 0.362 value for statistics (before it is converted to a z-score) by the state permanent budget from 2025-26, we get 4.8118524</w:t>
            </w:r>
            <w:r>
              <w:t xml:space="preserve">^{5}.</w:t>
            </w:r>
            <w:r>
              <w:t xml:space="preserve"> </w:t>
            </w:r>
            <w:r>
              <w:t xml:space="preserve">One PI in the department brought in 1.2 million dollars in grant money during the 2020-2024 period.</w:t>
            </w:r>
            <w:r>
              <w:t xml:space="preserve"> </w:t>
            </w:r>
            <w:r>
              <w:t xml:space="preserve">Thus, we have had a difficult time validating these numbers in any way.</w:t>
            </w:r>
          </w:p>
        </w:tc>
      </w:tr>
    </w:tbl>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9"/>
    <w:bookmarkStart w:id="70" w:name="p1-expenditures"/>
    <w:p>
      <w:pPr>
        <w:pStyle w:val="Heading2"/>
      </w:pPr>
      <w:r>
        <w:t xml:space="preserve">3.7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70"/>
    <w:bookmarkEnd w:id="71"/>
    <w:bookmarkStart w:id="73"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2">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6">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2025-10-03T00:30:35Z</dcterms:created>
  <dcterms:modified xsi:type="dcterms:W3CDTF">2025-10-03T00:30:35Z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