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Case Citation Extraction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landmark decision in Marbury v. Madison, 5 U.S. 137 (1803), established the principle of judicial review.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Another important ruling came in McCulloch v. Maryland, 17 U.S. 316 (1819), which clarified federal power over state laws.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Recent decisions include Dobbs v. Jackson Women's Health Organization, 597 U.S. ___ (2022), which reconsidered precedent on abortion rights.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Federal appellate courts have also ruled on significant issues. In Jones v. Mississippi, 975 F.3d 1200 (5th Cir. 2021), the Fifth Circuit addressed sentencing guidelines.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Fourth Circuit, in United States v. Hilton, 915 F.3d 540 (4th Cir. 2019), ruled on search and seizure limitations.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Similarly, in Williams v. United States, 848 F.2d 1126 (D.C. Cir. 1998), the court examined due process protections.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lower courts, the Southern District of New York ruled in SEC v. Howey, 328 U.S. 293 (1946), setting the standard for securities regulations.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Meanwhile, the Northern District of California, in Google LLC v. Oracle America, Inc., 886 F.3d 1179 (Fed. Cir. 2018), ruled on copyright issues.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State courts have also shaped legal doctrine. In People v. Anderson, 6 Cal.3d 628 (1972), the California Supreme Court ruled on capital punishment.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New York Court of Appeals ruled in People v. LaValle, 3 N.Y.3d 88 (2004), addressing jury sentencing in capital cases.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Additional landmark rulings include: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Terry v. Ohio, 392 U.S. 1 (1968)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United States v. Nixon, 418 U.S. 683 (1974)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Bush v. Gore, 531 U.S. 98 (2000)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Gideon v. Wainwright, 372 U.S. 335 (1963)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Miranda v. Arizona, 384 U.S. 436 (1966)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Citizens United v. FEC, 558 U.S. 310 (2010)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Various courts continue to shape legal precedent through rulings that impact civil rights, corporate law, and constitutional interpretations.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