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qmluej7lcg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Legal Case Citation Test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(Test various legal citation formats)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rtl w:val="0"/>
        </w:rPr>
        <w:t xml:space="preserve">Miranda v. Arizona, 384 U.S. 436 (1966)</w:t>
      </w:r>
      <w:r w:rsidDel="00000000" w:rsidR="00000000" w:rsidRPr="00000000">
        <w:rPr>
          <w:rtl w:val="0"/>
        </w:rPr>
        <w:t xml:space="preserve">, the Supreme Court established important rights for defendants in custody. Similarly, in </w:t>
      </w:r>
      <w:r w:rsidDel="00000000" w:rsidR="00000000" w:rsidRPr="00000000">
        <w:rPr>
          <w:b w:val="1"/>
          <w:rtl w:val="0"/>
        </w:rPr>
        <w:t xml:space="preserve">Gideon v. Wainwright, 372 U.S. 335 (1963)</w:t>
      </w:r>
      <w:r w:rsidDel="00000000" w:rsidR="00000000" w:rsidRPr="00000000">
        <w:rPr>
          <w:rtl w:val="0"/>
        </w:rPr>
        <w:t xml:space="preserve">, the Court ruled on the right to counsel. The decision in </w:t>
      </w:r>
      <w:r w:rsidDel="00000000" w:rsidR="00000000" w:rsidRPr="00000000">
        <w:rPr>
          <w:b w:val="1"/>
          <w:rtl w:val="0"/>
        </w:rPr>
        <w:t xml:space="preserve">Roe v. Wade, 410 U.S. 113 (1973)</w:t>
      </w:r>
      <w:r w:rsidDel="00000000" w:rsidR="00000000" w:rsidRPr="00000000">
        <w:rPr>
          <w:rtl w:val="0"/>
        </w:rPr>
        <w:t xml:space="preserve"> remains one of the most widely discussed rulings in constitutional law.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courts have also weighed in on significant issues. The </w:t>
      </w:r>
      <w:r w:rsidDel="00000000" w:rsidR="00000000" w:rsidRPr="00000000">
        <w:rPr>
          <w:b w:val="1"/>
          <w:rtl w:val="0"/>
        </w:rPr>
        <w:t xml:space="preserve">Ninth Circuit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Doe v. United States, 419 F.3d 1058 (9th Cir. 2005)</w:t>
      </w:r>
      <w:r w:rsidDel="00000000" w:rsidR="00000000" w:rsidRPr="00000000">
        <w:rPr>
          <w:rtl w:val="0"/>
        </w:rPr>
        <w:t xml:space="preserve"> addressed privacy concerns. Meanwhile, in </w:t>
      </w:r>
      <w:r w:rsidDel="00000000" w:rsidR="00000000" w:rsidRPr="00000000">
        <w:rPr>
          <w:b w:val="1"/>
          <w:rtl w:val="0"/>
        </w:rPr>
        <w:t xml:space="preserve">United States v. Windsor, 570 U.S. 744 (2013)</w:t>
      </w:r>
      <w:r w:rsidDel="00000000" w:rsidR="00000000" w:rsidRPr="00000000">
        <w:rPr>
          <w:rtl w:val="0"/>
        </w:rPr>
        <w:t xml:space="preserve">, the Supreme Court ruled on same-sex marriage rights.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Further, the landmark case </w:t>
      </w:r>
      <w:r w:rsidDel="00000000" w:rsidR="00000000" w:rsidRPr="00000000">
        <w:rPr>
          <w:b w:val="1"/>
          <w:rtl w:val="0"/>
        </w:rPr>
        <w:t xml:space="preserve">New York Times Co. v. Sullivan, 376 U.S. 254 (1964)</w:t>
      </w:r>
      <w:r w:rsidDel="00000000" w:rsidR="00000000" w:rsidRPr="00000000">
        <w:rPr>
          <w:rtl w:val="0"/>
        </w:rPr>
        <w:t xml:space="preserve"> set the standard for defamation claims against public figures. Another key ruling came from the </w:t>
      </w:r>
      <w:r w:rsidDel="00000000" w:rsidR="00000000" w:rsidRPr="00000000">
        <w:rPr>
          <w:b w:val="1"/>
          <w:rtl w:val="0"/>
        </w:rPr>
        <w:t xml:space="preserve">D.C. Circuit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United States v. Microsoft Corp., 253 F.3d 34 (D.C. Cir. 2001)</w:t>
      </w:r>
      <w:r w:rsidDel="00000000" w:rsidR="00000000" w:rsidRPr="00000000">
        <w:rPr>
          <w:rtl w:val="0"/>
        </w:rPr>
        <w:t xml:space="preserve">, which examined antitrust violations.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number of district court decisions also shape the legal landscape. The </w:t>
      </w:r>
      <w:r w:rsidDel="00000000" w:rsidR="00000000" w:rsidRPr="00000000">
        <w:rPr>
          <w:b w:val="1"/>
          <w:rtl w:val="0"/>
        </w:rPr>
        <w:t xml:space="preserve">Southern District of New York</w:t>
      </w:r>
      <w:r w:rsidDel="00000000" w:rsidR="00000000" w:rsidRPr="00000000">
        <w:rPr>
          <w:rtl w:val="0"/>
        </w:rPr>
        <w:t xml:space="preserve"> ruled in </w:t>
      </w:r>
      <w:r w:rsidDel="00000000" w:rsidR="00000000" w:rsidRPr="00000000">
        <w:rPr>
          <w:b w:val="1"/>
          <w:rtl w:val="0"/>
        </w:rPr>
        <w:t xml:space="preserve">SEC v. Texas Gulf Sulphur Co., 401 F.2d 833 (2d Cir. 1968)</w:t>
      </w:r>
      <w:r w:rsidDel="00000000" w:rsidR="00000000" w:rsidRPr="00000000">
        <w:rPr>
          <w:rtl w:val="0"/>
        </w:rPr>
        <w:t xml:space="preserve"> on insider trading regulations. Meanwhile, the </w:t>
      </w:r>
      <w:r w:rsidDel="00000000" w:rsidR="00000000" w:rsidRPr="00000000">
        <w:rPr>
          <w:b w:val="1"/>
          <w:rtl w:val="0"/>
        </w:rPr>
        <w:t xml:space="preserve">Northern District of California</w:t>
      </w:r>
      <w:r w:rsidDel="00000000" w:rsidR="00000000" w:rsidRPr="00000000">
        <w:rPr>
          <w:rtl w:val="0"/>
        </w:rPr>
        <w:t xml:space="preserve"> held in </w:t>
      </w:r>
      <w:r w:rsidDel="00000000" w:rsidR="00000000" w:rsidRPr="00000000">
        <w:rPr>
          <w:b w:val="1"/>
          <w:rtl w:val="0"/>
        </w:rPr>
        <w:t xml:space="preserve">Apple Inc. v. Samsung Electronics Co., 678 F.3d 1314 (Fed. Cir. 2012)</w:t>
      </w:r>
      <w:r w:rsidDel="00000000" w:rsidR="00000000" w:rsidRPr="00000000">
        <w:rPr>
          <w:rtl w:val="0"/>
        </w:rPr>
        <w:t xml:space="preserve"> that patent infringement could significantly impact competition.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courts have also issued impactful rulings. The </w:t>
      </w:r>
      <w:r w:rsidDel="00000000" w:rsidR="00000000" w:rsidRPr="00000000">
        <w:rPr>
          <w:b w:val="1"/>
          <w:rtl w:val="0"/>
        </w:rPr>
        <w:t xml:space="preserve">California Supreme Court</w:t>
      </w:r>
      <w:r w:rsidDel="00000000" w:rsidR="00000000" w:rsidRPr="00000000">
        <w:rPr>
          <w:rtl w:val="0"/>
        </w:rPr>
        <w:t xml:space="preserve">, in </w:t>
      </w:r>
      <w:r w:rsidDel="00000000" w:rsidR="00000000" w:rsidRPr="00000000">
        <w:rPr>
          <w:b w:val="1"/>
          <w:rtl w:val="0"/>
        </w:rPr>
        <w:t xml:space="preserve">People v. Anderson, 6 Cal.3d 628 (1972)</w:t>
      </w:r>
      <w:r w:rsidDel="00000000" w:rsidR="00000000" w:rsidRPr="00000000">
        <w:rPr>
          <w:rtl w:val="0"/>
        </w:rPr>
        <w:t xml:space="preserve">, dealt with capital punishment statutes. Similarly, the </w:t>
      </w:r>
      <w:r w:rsidDel="00000000" w:rsidR="00000000" w:rsidRPr="00000000">
        <w:rPr>
          <w:b w:val="1"/>
          <w:rtl w:val="0"/>
        </w:rPr>
        <w:t xml:space="preserve">New York Court of Appeals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People v. Goetz, 68 N.Y.2d 96 (1986)</w:t>
      </w:r>
      <w:r w:rsidDel="00000000" w:rsidR="00000000" w:rsidRPr="00000000">
        <w:rPr>
          <w:rtl w:val="0"/>
        </w:rPr>
        <w:t xml:space="preserve"> examined the issue of self-defense.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notable decisions include: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Plessy v. Ferguson, 163 U.S. 537 (1896)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Brown v. Board of Education, 347 U.S. 483 (1954)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Bush v. Gore, 531 U.S. 98 (2000)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Mapp v. Ohio, 367 U.S. 643 (1961)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Tinker v. Des Moines Independent Community School District, 393 U.S. 503 (1969)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Citizens United v. FEC, 558 U.S. 310 (2010)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cases reflect a broad spectrum of legal issues, from civil rights to corporate regulations. Courts at </w:t>
      </w:r>
      <w:r w:rsidDel="00000000" w:rsidR="00000000" w:rsidRPr="00000000">
        <w:rPr>
          <w:b w:val="1"/>
          <w:rtl w:val="0"/>
        </w:rPr>
        <w:t xml:space="preserve">all levels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rtl w:val="0"/>
        </w:rPr>
        <w:t xml:space="preserve">Supreme Court, appellate, and district courts</w:t>
      </w:r>
      <w:r w:rsidDel="00000000" w:rsidR="00000000" w:rsidRPr="00000000">
        <w:rPr>
          <w:rtl w:val="0"/>
        </w:rPr>
        <w:t xml:space="preserve">—continue to shape American jurisprudence.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