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运维手册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E5969"/>
          <w:sz w:val="22"/>
        </w:rPr>
        <w:t>日常运维、监控告警、日志分析、发布回滚与应急操作</w:t>
      </w:r>
    </w:p>
    <w:p>
      <w:pPr>
        <w:spacing w:after="280"/>
        <w:ind w:left="170"/>
      </w:pPr>
      <w:r>
        <w:rPr>
          <w:rFonts w:ascii="PingFang SC" w:hAnsi="PingFang SC" w:eastAsia="PingFang SC"/>
          <w:b/>
          <w:color w:val="165DFF"/>
          <w:sz w:val="18"/>
        </w:rPr>
        <w:t>交付版本 1.0  |  RIver AGI 数据智能分析与需求预测平台</w:t>
      </w:r>
    </w:p>
    <w:p>
      <w:pPr>
        <w:pStyle w:val="Heading1"/>
      </w:pPr>
      <w:r>
        <w:t>1. 运维职责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236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运维人员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服务可用性、发布、备份、监控和故障恢复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系统管理员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账号、角色、权限、安全策略和审计复核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业务人员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数据导入、标注、预测、评估和报表使用</w:t>
            </w:r>
          </w:p>
        </w:tc>
      </w:tr>
    </w:tbl>
    <w:p>
      <w:pPr>
        <w:spacing w:after="40"/>
      </w:pPr>
    </w:p>
    <w:p>
      <w:pPr>
        <w:pStyle w:val="Heading1"/>
      </w:pPr>
      <w:r>
        <w:t>2. 日常运维</w:t>
      </w:r>
    </w:p>
    <w:p>
      <w:pPr>
        <w:pStyle w:val="ListBullet"/>
        <w:spacing w:after="40"/>
      </w:pPr>
      <w:r>
        <w:t>每天执行 ./ops/health-check.sh，确认前端、Java、Python 和数据库状态。</w:t>
      </w:r>
    </w:p>
    <w:p>
      <w:pPr>
        <w:pStyle w:val="ListBullet"/>
        <w:spacing w:after="40"/>
      </w:pPr>
      <w:r>
        <w:t>每天查看未处理运行告警、备份结果和磁盘空间。</w:t>
      </w:r>
    </w:p>
    <w:p>
      <w:pPr>
        <w:pStyle w:val="ListBullet"/>
        <w:spacing w:after="40"/>
      </w:pPr>
      <w:r>
        <w:t>每周抽查一次备份恢复；每月汇总故障、告警和可用率。</w:t>
      </w:r>
    </w:p>
    <w:p>
      <w:pPr>
        <w:pStyle w:val="ListBullet"/>
        <w:spacing w:after="40"/>
      </w:pPr>
      <w:r>
        <w:t>日志按天轮转，生产业务日志建议保留 30 天，审计日志按合规策略保留 730 天。</w:t>
      </w:r>
    </w:p>
    <w:p>
      <w:pPr>
        <w:pStyle w:val="Heading1"/>
      </w:pPr>
      <w:r>
        <w:t>3.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监控内容</w:t>
            </w:r>
          </w:p>
        </w:tc>
        <w:tc>
          <w:tcPr>
            <w:tcW w:type="dxa" w:w="3402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异常阈值/动作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服务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端口、健康接口、进程存活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连续失败立即告警并检查日志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资源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CPU、JVM 堆、内存、磁盘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CPU/内存 85% 告警；磁盘 80% 预警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模型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训练状态、推理延迟、吞吐、失败数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延迟超过 200ms 或任务失败告警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安全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登录失败、403、风险扫描、权限变更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高风险立即冻结账号并审计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数据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备份成功率、恢复验证、导入/导出结果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备份失败当天处理</w:t>
            </w:r>
          </w:p>
        </w:tc>
      </w:tr>
    </w:tbl>
    <w:p>
      <w:pPr>
        <w:spacing w:after="40"/>
      </w:pPr>
    </w:p>
    <w:p>
      <w:pPr>
        <w:pStyle w:val="Heading1"/>
      </w:pPr>
      <w:r>
        <w:t>4. 监控接口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236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接口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Java 健康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GET /actuator/health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Python 健康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GET http://127.0.0.1:5001/health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预测引擎健康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GET /api/v1/predictions/health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性能汇总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GET /api/v1/predictions/monitoring/summary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采样与告警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GET /api/v1/predictions/monitoring/samples 和 /alerts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审计日志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GET /api/v1/audit/logs</w:t>
            </w:r>
          </w:p>
        </w:tc>
      </w:tr>
    </w:tbl>
    <w:p>
      <w:pPr>
        <w:spacing w:after="40"/>
      </w:pPr>
    </w:p>
    <w:p>
      <w:pPr>
        <w:pStyle w:val="Heading1"/>
      </w:pPr>
      <w:r>
        <w:t>5. 告警响应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402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典型条件</w:t>
            </w:r>
          </w:p>
        </w:tc>
        <w:tc>
          <w:tcPr>
            <w:tcW w:type="dxa" w:w="1701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响应时限</w:t>
            </w:r>
          </w:p>
        </w:tc>
        <w:tc>
          <w:tcPr>
            <w:tcW w:type="dxa" w:w="2551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ERROR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服务不可用、数据库不可用、连续任务失败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15 分钟</w:t>
            </w:r>
          </w:p>
        </w:tc>
        <w:tc>
          <w:tcPr>
            <w:tcW w:type="dxa" w:w="255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确认事件、保护数据、启动预案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WARNING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CPU/内存过高、延迟过高、磁盘不足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2 小时</w:t>
            </w:r>
          </w:p>
        </w:tc>
        <w:tc>
          <w:tcPr>
            <w:tcW w:type="dxa" w:w="255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降载、扩容、清理或优化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INFO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发布、备份、恢复、权限变更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1 个工作日</w:t>
            </w:r>
          </w:p>
        </w:tc>
        <w:tc>
          <w:tcPr>
            <w:tcW w:type="dxa" w:w="255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审计核对并归档</w:t>
            </w:r>
          </w:p>
        </w:tc>
      </w:tr>
    </w:tbl>
    <w:p>
      <w:pPr>
        <w:spacing w:after="40"/>
      </w:pPr>
    </w:p>
    <w:p>
      <w:pPr>
        <w:pStyle w:val="Heading1"/>
      </w:pPr>
      <w:r>
        <w:t>6. 日志分析</w:t>
      </w:r>
    </w:p>
    <w:p>
      <w:r>
        <w:t>重点检索 ERROR、Exception、401、403、timeout、deadlock、OutOfMemoryError 和 training failed。生产日志需包含时间、服务、请求 ID、用户、接口、状态码、耗时、任务 ID 和错误码；导出前必须脱敏。</w:t>
      </w:r>
    </w:p>
    <w:p>
      <w:pPr>
        <w:pStyle w:val="Heading1"/>
      </w:pPr>
      <w:r>
        <w:t>7. 发布与回滚</w:t>
      </w:r>
    </w:p>
    <w:p>
      <w:pPr>
        <w:pStyle w:val="ListNumber"/>
        <w:spacing w:after="60"/>
      </w:pPr>
      <w:r>
        <w:t>发布前构建 Java 和前端，执行健康检查并备份当前版本。</w:t>
      </w:r>
    </w:p>
    <w:p>
      <w:pPr>
        <w:pStyle w:val="ListNumber"/>
        <w:spacing w:after="60"/>
      </w:pPr>
      <w:r>
        <w:t>发布 Java、Python 和前端，观察启动日志和接口状态。</w:t>
      </w:r>
    </w:p>
    <w:p>
      <w:pPr>
        <w:pStyle w:val="ListNumber"/>
        <w:spacing w:after="60"/>
      </w:pPr>
      <w:r>
        <w:t>验证登录、导入、预测、监控、备份和审计核心链路。</w:t>
      </w:r>
    </w:p>
    <w:p>
      <w:pPr>
        <w:pStyle w:val="ListNumber"/>
        <w:spacing w:after="60"/>
      </w:pPr>
      <w:r>
        <w:t>发现异常时恢复上一版应用文件，保留现场日志并记录事件。</w:t>
      </w:r>
    </w:p>
    <w:p>
      <w:pPr>
        <w:pStyle w:val="Heading1"/>
      </w:pPr>
      <w:r>
        <w:t>8. 可用率统计</w:t>
      </w:r>
    </w:p>
    <w:p>
      <w:r>
        <w:t>可用率 =（统计周期总分钟 - 不可用分钟）/ 统计周期总分钟 × 100%。99.5% 需要上线后的持续监控和停机统计，不能由一次本地压测证明。</w:t>
      </w:r>
    </w:p>
    <w:p>
      <w:pPr>
        <w:pStyle w:val="Heading1"/>
      </w:pPr>
      <w:r>
        <w:t>9. 常用命令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03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健康检查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./ops/health-check.sh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Java 日志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journalctl -u river-agi-java -f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Python 日志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journalctl -u river-agi-python -f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Docker 状态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cd backend &amp;&amp; docker compose ps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Docker 日志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cd backend &amp;&amp; docker compose logs --tail=200 app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86909C"/>
        <w:sz w:val="16"/>
      </w:rPr>
      <w:t>RIver AGI  |  内部交付资料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65D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