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PingFang SC" w:hAnsi="PingFang SC" w:eastAsia="PingFang SC"/>
          <w:b/>
          <w:color w:val="165DFF"/>
          <w:sz w:val="48"/>
        </w:rPr>
        <w:t>RIver AGI 部署文档</w:t>
      </w:r>
    </w:p>
    <w:p>
      <w:pPr>
        <w:spacing w:after="360"/>
        <w:jc w:val="center"/>
      </w:pPr>
      <w:r>
        <w:rPr>
          <w:rFonts w:ascii="PingFang SC" w:hAnsi="PingFang SC" w:eastAsia="PingFang SC"/>
          <w:color w:val="4E5969"/>
          <w:sz w:val="22"/>
        </w:rPr>
        <w:t>测试环境、生产环境与依赖组件完整部署指南</w:t>
      </w:r>
    </w:p>
    <w:p>
      <w:pPr>
        <w:spacing w:after="280"/>
        <w:ind w:left="170"/>
      </w:pPr>
      <w:r>
        <w:rPr>
          <w:rFonts w:ascii="PingFang SC" w:hAnsi="PingFang SC" w:eastAsia="PingFang SC"/>
          <w:b/>
          <w:color w:val="165DFF"/>
          <w:sz w:val="18"/>
        </w:rPr>
        <w:t>交付版本 1.0  |  RIver AGI 数据智能分析与需求预测平台</w:t>
      </w:r>
    </w:p>
    <w:p>
      <w:pPr>
        <w:pStyle w:val="Heading1"/>
      </w:pPr>
      <w:r>
        <w:t>1. 部署目标</w:t>
      </w:r>
    </w:p>
    <w:p>
      <w:r>
        <w:t>本文用于指导 RIver AGI 在测试环境和生产环境完成安装、配置、启动、健康检查与发布。平台由 Vue 前端、Java 业务后端、Python 预测引擎和 MySQL 数据库组成，Redis、RabbitMQ、MinIO 为可选基础设施。</w:t>
      </w:r>
    </w:p>
    <w:p>
      <w:pPr>
        <w:pStyle w:val="Heading1"/>
      </w:pPr>
      <w:r>
        <w:t>2. 系统架构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701"/>
            <w:vAlign w:val="center"/>
            <w:shd w:fill="165DFF"/>
            <w:tcBorders>
              <w:top w:val="single" w:sz="6" w:color="165DFF"/>
              <w:left w:val="single" w:sz="6" w:color="165DFF"/>
              <w:bottom w:val="single" w:sz="6" w:color="165DFF"/>
              <w:right w:val="single" w:sz="6" w:color="165DFF"/>
              <w:insideH w:val="single" w:sz="6" w:color="165DFF"/>
              <w:insideV w:val="single" w:sz="6" w:color="165DFF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2268"/>
            <w:vAlign w:val="center"/>
            <w:shd w:fill="165DFF"/>
            <w:tcBorders>
              <w:top w:val="single" w:sz="6" w:color="165DFF"/>
              <w:left w:val="single" w:sz="6" w:color="165DFF"/>
              <w:bottom w:val="single" w:sz="6" w:color="165DFF"/>
              <w:right w:val="single" w:sz="6" w:color="165DFF"/>
              <w:insideH w:val="single" w:sz="6" w:color="165DFF"/>
              <w:insideV w:val="single" w:sz="6" w:color="165DFF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技术/版本</w:t>
            </w:r>
          </w:p>
        </w:tc>
        <w:tc>
          <w:tcPr>
            <w:tcW w:type="dxa" w:w="1701"/>
            <w:vAlign w:val="center"/>
            <w:shd w:fill="165DFF"/>
            <w:tcBorders>
              <w:top w:val="single" w:sz="6" w:color="165DFF"/>
              <w:left w:val="single" w:sz="6" w:color="165DFF"/>
              <w:bottom w:val="single" w:sz="6" w:color="165DFF"/>
              <w:right w:val="single" w:sz="6" w:color="165DFF"/>
              <w:insideH w:val="single" w:sz="6" w:color="165DFF"/>
              <w:insideV w:val="single" w:sz="6" w:color="165DFF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默认地址</w:t>
            </w:r>
          </w:p>
        </w:tc>
        <w:tc>
          <w:tcPr>
            <w:tcW w:type="dxa" w:w="3402"/>
            <w:vAlign w:val="center"/>
            <w:shd w:fill="165DFF"/>
            <w:tcBorders>
              <w:top w:val="single" w:sz="6" w:color="165DFF"/>
              <w:left w:val="single" w:sz="6" w:color="165DFF"/>
              <w:bottom w:val="single" w:sz="6" w:color="165DFF"/>
              <w:right w:val="single" w:sz="6" w:color="165DFF"/>
              <w:insideH w:val="single" w:sz="6" w:color="165DFF"/>
              <w:insideV w:val="single" w:sz="6" w:color="165DFF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9"/>
              </w:rPr>
              <w:t>前端</w:t>
            </w:r>
          </w:p>
        </w:tc>
        <w:tc>
          <w:tcPr>
            <w:tcW w:type="dxa" w:w="2268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9"/>
              </w:rPr>
              <w:t>Vue 3 / Vite</w:t>
            </w:r>
          </w:p>
        </w:tc>
        <w:tc>
          <w:tcPr>
            <w:tcW w:type="dxa" w:w="1701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9"/>
              </w:rPr>
              <w:t>3000</w:t>
            </w:r>
          </w:p>
        </w:tc>
        <w:tc>
          <w:tcPr>
            <w:tcW w:type="dxa" w:w="3402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9"/>
              </w:rPr>
              <w:t>页面交互与数据展示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9"/>
              </w:rPr>
              <w:t>Java 后端</w:t>
            </w:r>
          </w:p>
        </w:tc>
        <w:tc>
          <w:tcPr>
            <w:tcW w:type="dxa" w:w="2268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9"/>
              </w:rPr>
              <w:t>Spring Boot 3.4 / Java 21</w:t>
            </w:r>
          </w:p>
        </w:tc>
        <w:tc>
          <w:tcPr>
            <w:tcW w:type="dxa" w:w="1701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9"/>
              </w:rPr>
              <w:t>8080</w:t>
            </w:r>
          </w:p>
        </w:tc>
        <w:tc>
          <w:tcPr>
            <w:tcW w:type="dxa" w:w="3402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9"/>
              </w:rPr>
              <w:t>业务接口、权限、审计、持久化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9"/>
              </w:rPr>
              <w:t>Python 引擎</w:t>
            </w:r>
          </w:p>
        </w:tc>
        <w:tc>
          <w:tcPr>
            <w:tcW w:type="dxa" w:w="2268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9"/>
              </w:rPr>
              <w:t>Flask / PyTorch / TensorFlow</w:t>
            </w:r>
          </w:p>
        </w:tc>
        <w:tc>
          <w:tcPr>
            <w:tcW w:type="dxa" w:w="1701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9"/>
              </w:rPr>
              <w:t>5001</w:t>
            </w:r>
          </w:p>
        </w:tc>
        <w:tc>
          <w:tcPr>
            <w:tcW w:type="dxa" w:w="3402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9"/>
              </w:rPr>
              <w:t>深度学习训练与预测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9"/>
              </w:rPr>
              <w:t>数据库</w:t>
            </w:r>
          </w:p>
        </w:tc>
        <w:tc>
          <w:tcPr>
            <w:tcW w:type="dxa" w:w="2268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9"/>
              </w:rPr>
              <w:t>MySQL 8.0+</w:t>
            </w:r>
          </w:p>
        </w:tc>
        <w:tc>
          <w:tcPr>
            <w:tcW w:type="dxa" w:w="1701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9"/>
              </w:rPr>
              <w:t>3306</w:t>
            </w:r>
          </w:p>
        </w:tc>
        <w:tc>
          <w:tcPr>
            <w:tcW w:type="dxa" w:w="3402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9"/>
              </w:rPr>
              <w:t>业务数据、配置、审计数据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9"/>
              </w:rPr>
              <w:t>扩展依赖</w:t>
            </w:r>
          </w:p>
        </w:tc>
        <w:tc>
          <w:tcPr>
            <w:tcW w:type="dxa" w:w="2268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9"/>
              </w:rPr>
              <w:t>Redis / RabbitMQ / MinIO</w:t>
            </w:r>
          </w:p>
        </w:tc>
        <w:tc>
          <w:tcPr>
            <w:tcW w:type="dxa" w:w="1701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9"/>
              </w:rPr>
              <w:t>6379 / 5672 / 9000</w:t>
            </w:r>
          </w:p>
        </w:tc>
        <w:tc>
          <w:tcPr>
            <w:tcW w:type="dxa" w:w="3402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9"/>
              </w:rPr>
              <w:t>缓存、异步、对象存储</w:t>
            </w:r>
          </w:p>
        </w:tc>
      </w:tr>
    </w:tbl>
    <w:p>
      <w:pPr>
        <w:spacing w:after="40"/>
      </w:pPr>
    </w:p>
    <w:p>
      <w:pPr>
        <w:pStyle w:val="Heading1"/>
      </w:pPr>
      <w:r>
        <w:t>3. 环境要求</w:t>
      </w:r>
    </w:p>
    <w:p>
      <w:pPr>
        <w:pStyle w:val="ListBullet"/>
        <w:spacing w:after="40"/>
      </w:pPr>
      <w:r>
        <w:t>macOS、Linux 或 Windows WSL2；Java 21+；Maven 3.9+；Node.js 20+；Python 3.9-3.11（推荐 3.10）；MySQL 8+。</w:t>
      </w:r>
    </w:p>
    <w:p>
      <w:pPr>
        <w:pStyle w:val="ListBullet"/>
        <w:spacing w:after="40"/>
      </w:pPr>
      <w:r>
        <w:t>生产环境使用独立数据库账号，配置 HTTPS、反向代理、持久化磁盘和进程自动重启。</w:t>
      </w:r>
    </w:p>
    <w:p>
      <w:pPr>
        <w:pStyle w:val="ListBullet"/>
        <w:spacing w:after="40"/>
      </w:pPr>
      <w:r>
        <w:t>GPU、CUDA、cuDNN 仅在需要 GPU 训练时安装，CPU 可运行基础功能。</w:t>
      </w:r>
    </w:p>
    <w:p>
      <w:pPr>
        <w:pStyle w:val="Heading1"/>
      </w:pPr>
      <w:r>
        <w:t>4. 测试环境部署</w:t>
      </w:r>
    </w:p>
    <w:p>
      <w:pPr>
        <w:pStyle w:val="Heading2"/>
      </w:pPr>
      <w:r>
        <w:t>4.1 初始化 MySQL</w:t>
      </w:r>
    </w:p>
    <w:p>
      <w:r>
        <w:t>创建数据库 river_agi，并在 backend/.env.local 配置 DB_URL、DB_USERNAME、DB_PASSWORD、JWT_SECRET、DEEPSEEK_API_KEY。密钥文件只保留在部署机，不提交 Git。</w:t>
      </w:r>
    </w:p>
    <w:p>
      <w:pPr>
        <w:pStyle w:val="Heading2"/>
      </w:pPr>
      <w:r>
        <w:t>4.2 安装 Python 引擎</w:t>
      </w:r>
    </w:p>
    <w:p>
      <w:pPr>
        <w:pStyle w:val="ListNumber"/>
        <w:spacing w:after="60"/>
      </w:pPr>
      <w:r>
        <w:t>进入 backend/prediction-engine，创建 .venv 虚拟环境。</w:t>
      </w:r>
    </w:p>
    <w:p>
      <w:pPr>
        <w:pStyle w:val="ListNumber"/>
        <w:spacing w:after="60"/>
      </w:pPr>
      <w:r>
        <w:t>执行 .venv/bin/pip install -r requirements.txt。</w:t>
      </w:r>
    </w:p>
    <w:p>
      <w:pPr>
        <w:pStyle w:val="ListNumber"/>
        <w:spacing w:after="60"/>
      </w:pPr>
      <w:r>
        <w:t>验证 flask、torch、tensorflow、sklearn 均可导入。</w:t>
      </w:r>
    </w:p>
    <w:p>
      <w:pPr>
        <w:pStyle w:val="Heading2"/>
      </w:pPr>
      <w:r>
        <w:t>4.3 构建并启动</w:t>
      </w:r>
    </w:p>
    <w:p>
      <w:r>
        <w:t>Java 构建命令：mvn -DskipTests package。随后执行 backend/start-local.sh；脚本固定使用 Python 5001 端口，并以 DL_ENGINE_ENABLED=true 连接 Java。前端执行 npm ci 和 npm run dev -- --host 0.0.0.0。</w:t>
      </w:r>
    </w:p>
    <w:p>
      <w:pPr>
        <w:pStyle w:val="Heading1"/>
      </w:pPr>
      <w:r>
        <w:t>5. 生产环境部署</w:t>
      </w:r>
    </w:p>
    <w:p>
      <w:pPr>
        <w:pStyle w:val="ListNumber"/>
        <w:spacing w:after="60"/>
      </w:pPr>
      <w:r>
        <w:t>准备独立 MySQL、备份存储和日志存储，配置生产密钥。</w:t>
      </w:r>
    </w:p>
    <w:p>
      <w:pPr>
        <w:pStyle w:val="ListNumber"/>
        <w:spacing w:after="60"/>
      </w:pPr>
      <w:r>
        <w:t>构建前端 npm run build，由 Nginx 托管 frontend/dist，并将 /api/ 反向代理至 8080。</w:t>
      </w:r>
    </w:p>
    <w:p>
      <w:pPr>
        <w:pStyle w:val="ListNumber"/>
        <w:spacing w:after="60"/>
      </w:pPr>
      <w:r>
        <w:t>使用 systemd、Docker 或进程管理器托管 Java 与 Python，设置 restart=always/always-on-failure。</w:t>
      </w:r>
    </w:p>
    <w:p>
      <w:pPr>
        <w:pStyle w:val="ListNumber"/>
        <w:spacing w:after="60"/>
      </w:pPr>
      <w:r>
        <w:t>配置 HTTPS、域名、访问控制、日志轮转、监控采集和告警通知。</w:t>
      </w:r>
    </w:p>
    <w:p>
      <w:pPr>
        <w:pStyle w:val="ListNumber"/>
        <w:spacing w:after="60"/>
      </w:pPr>
      <w:r>
        <w:t>发布后执行健康检查、登录、数据集读取、预测健康、备份列表和审计日志验证。</w:t>
      </w:r>
    </w:p>
    <w:p>
      <w:pPr>
        <w:pStyle w:val="Heading1"/>
      </w:pPr>
      <w:r>
        <w:t>6. 健康检查与验收</w:t>
      </w:r>
    </w:p>
    <w:p>
      <w:r>
        <w:t>在项目根目录执行 ops/health-check.sh，检查前端、Java、Python 和 MySQL。业务接口需要先登录获得 Bearer Token。</w:t>
      </w:r>
    </w:p>
    <w:p>
      <w:pPr>
        <w:pStyle w:val="Heading1"/>
      </w:pPr>
      <w:r>
        <w:t>7. 发布与回滚</w:t>
      </w:r>
    </w:p>
    <w:p>
      <w:pPr>
        <w:pStyle w:val="ListBullet"/>
        <w:spacing w:after="40"/>
      </w:pPr>
      <w:r>
        <w:t>发布前保存 JAR、frontend/dist、配置版本和 Flyway 版本。</w:t>
      </w:r>
    </w:p>
    <w:p>
      <w:pPr>
        <w:pStyle w:val="ListBullet"/>
        <w:spacing w:after="40"/>
      </w:pPr>
      <w:r>
        <w:t>出现异常时回退上一版 JAR/dist；数据库只执行经过验证的向前迁移，不使用破坏性回退。</w:t>
      </w:r>
    </w:p>
    <w:p>
      <w:pPr>
        <w:pStyle w:val="ListBullet"/>
        <w:spacing w:after="40"/>
      </w:pPr>
      <w:r>
        <w:t>回滚后验证登录、数据导入、预测引擎健康、监控和审计。</w:t>
      </w:r>
    </w:p>
    <w:p>
      <w:pPr>
        <w:pStyle w:val="Heading1"/>
      </w:pPr>
      <w:r>
        <w:t>8. 安全要求</w:t>
      </w:r>
    </w:p>
    <w:p>
      <w:pPr>
        <w:pStyle w:val="ListBullet"/>
        <w:spacing w:after="40"/>
      </w:pPr>
      <w:r>
        <w:t>禁止提交 .env.local、API Key、数据库密码、JWT 密钥、.venv、target、node_modules、模型与备份文件。</w:t>
      </w:r>
    </w:p>
    <w:p>
      <w:pPr>
        <w:pStyle w:val="ListBullet"/>
        <w:spacing w:after="40"/>
      </w:pPr>
      <w:r>
        <w:t>生产禁止使用 root 数据库账号；密钥通过环境变量或密钥管理系统注入。</w:t>
      </w:r>
    </w:p>
    <w:p>
      <w:pPr>
        <w:pStyle w:val="ListBullet"/>
        <w:spacing w:after="40"/>
      </w:pPr>
      <w:r>
        <w:t>上传、备份、模型和日志目录必须设置最小文件权限并纳入备份策略。</w:t>
      </w:r>
    </w:p>
    <w:sectPr w:rsidR="00FC693F" w:rsidRPr="0006063C" w:rsidSect="00034616">
      <w:footerReference w:type="default" r:id="rId9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ingFang SC" w:hAnsi="PingFang SC" w:eastAsia="PingFang SC"/>
        <w:color w:val="86909C"/>
        <w:sz w:val="16"/>
      </w:rPr>
      <w:t>RIver AGI  |  内部交付资料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PingFang SC" w:hAnsi="PingFang SC" w:eastAsia="PingFang SC"/>
      <w:color w:val="4E596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1D212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165DF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1D212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PingFang SC" w:hAnsi="PingFang SC" w:eastAsia="PingFang SC"/>
      <w:b/>
      <w:color w:val="165DF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