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PingFang SC" w:hAnsi="PingFang SC" w:eastAsia="PingFang SC"/>
          <w:b/>
          <w:color w:val="165DFF"/>
          <w:sz w:val="48"/>
        </w:rPr>
        <w:t>RIver AGI 培训材料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E5969"/>
          <w:sz w:val="22"/>
        </w:rPr>
        <w:t>管理员、业务人员与运维人员操作培训指南</w:t>
      </w:r>
    </w:p>
    <w:p>
      <w:pPr>
        <w:spacing w:after="280"/>
        <w:ind w:left="170"/>
      </w:pPr>
      <w:r>
        <w:rPr>
          <w:rFonts w:ascii="PingFang SC" w:hAnsi="PingFang SC" w:eastAsia="PingFang SC"/>
          <w:b/>
          <w:color w:val="165DFF"/>
          <w:sz w:val="18"/>
        </w:rPr>
        <w:t>交付版本 1.0  |  RIver AGI 数据智能分析与需求预测平台</w:t>
      </w:r>
    </w:p>
    <w:p>
      <w:pPr>
        <w:pStyle w:val="Heading1"/>
      </w:pPr>
      <w:r>
        <w:t>1. 培训目标</w:t>
      </w:r>
    </w:p>
    <w:p>
      <w:r>
        <w:t>培训完成后，管理员能够完成权限和安全管理，业务人员能够完成数据采集标注与需求预测闭环，运维人员能够完成启动、监控、告警处理、备份和故障恢复。</w:t>
      </w:r>
    </w:p>
    <w:p>
      <w:pPr>
        <w:pStyle w:val="Heading1"/>
      </w:pPr>
      <w:r>
        <w:t>2. 登录与基础规则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访问地址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http://127.0.0.1:3000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测试账号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admin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测试密码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admin123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安全要求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生产环境必须更换默认密码，不在聊天、截图或代码中暴露密钥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数据规则</w:t>
            </w:r>
          </w:p>
        </w:tc>
        <w:tc>
          <w:tcPr>
            <w:tcW w:type="dxa" w:w="680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先导入并解析数据集，再进入标注、趋势和预测页面</w:t>
            </w:r>
          </w:p>
        </w:tc>
      </w:tr>
    </w:tbl>
    <w:p>
      <w:pPr>
        <w:spacing w:after="40"/>
      </w:pPr>
    </w:p>
    <w:p>
      <w:pPr>
        <w:pStyle w:val="Heading1"/>
      </w:pPr>
      <w:r>
        <w:t>3. 管理员培训</w:t>
      </w:r>
    </w:p>
    <w:p>
      <w:pPr>
        <w:pStyle w:val="ListNumber"/>
        <w:spacing w:after="60"/>
      </w:pPr>
      <w:r>
        <w:t>登录权限管理后台，创建角色并选择模块权限。</w:t>
      </w:r>
    </w:p>
    <w:p>
      <w:pPr>
        <w:pStyle w:val="ListNumber"/>
        <w:spacing w:after="60"/>
      </w:pPr>
      <w:r>
        <w:t>保存授权后使用测试账号重新登录，验证菜单和接口权限生效。</w:t>
      </w:r>
    </w:p>
    <w:p>
      <w:pPr>
        <w:pStyle w:val="ListNumber"/>
        <w:spacing w:after="60"/>
      </w:pPr>
      <w:r>
        <w:t>进入质量规则、预测引擎配置和安全配置后台，保存规则并确认版本。</w:t>
      </w:r>
    </w:p>
    <w:p>
      <w:pPr>
        <w:pStyle w:val="ListNumber"/>
        <w:spacing w:after="60"/>
      </w:pPr>
      <w:r>
        <w:t>进入安全审计中心，执行安全扫描、查看风险、查看审计日志。</w:t>
      </w:r>
    </w:p>
    <w:p>
      <w:pPr>
        <w:pStyle w:val="ListNumber"/>
        <w:spacing w:after="60"/>
      </w:pPr>
      <w:r>
        <w:t>创建备份，在隔离环境执行恢复并抽查数据。</w:t>
      </w:r>
    </w:p>
    <w:p>
      <w:pPr>
        <w:pStyle w:val="Heading1"/>
      </w:pPr>
      <w:r>
        <w:t>4. 数据采集与标注流程</w:t>
      </w:r>
    </w:p>
    <w:p>
      <w:r>
        <w:t>完整流程：多源数据导入 → 解析预览 → 自动清洗 → 应用清洗 → 标签配置 → 创建并派发任务 → 独立工作台标注 → 在线校验 → 质量审核/抽检 → 一致性检查 → 仲裁纠偏 → 导出最终标注结果。</w:t>
      </w:r>
    </w:p>
    <w:p>
      <w:pPr>
        <w:pStyle w:val="Heading1"/>
      </w:pPr>
      <w:r>
        <w:t>5. 需求预测流程</w:t>
      </w:r>
    </w:p>
    <w:p>
      <w:r>
        <w:t>完整流程：选择已解析数据集 → 创建预测任务 → 选择时间序列、回归、分类或深度序列模型 → 选择 TensorFlow/PyTorch → 训练并查看进度 → 生成预测 → 查看 MAE/RMSE/MAPE/R² → 偏差分析 → 自动或手动调优 → Retraining → A/B 测试 → 发布或回滚模型。</w:t>
      </w:r>
    </w:p>
    <w:p>
      <w:pPr>
        <w:pStyle w:val="Heading1"/>
      </w:pPr>
      <w:r>
        <w:t>6. 趋势与报表</w:t>
      </w:r>
    </w:p>
    <w:p>
      <w:pPr>
        <w:pStyle w:val="ListBullet"/>
        <w:spacing w:after="40"/>
      </w:pPr>
      <w:r>
        <w:t>首次进入趋势看板读取当前数据集并显示默认趋势折线。</w:t>
      </w:r>
    </w:p>
    <w:p>
      <w:pPr>
        <w:pStyle w:val="ListBullet"/>
        <w:spacing w:after="40"/>
      </w:pPr>
      <w:r>
        <w:t>可切换对比柱状、异常散点、占比饼图；无对应真实数据时页面显示业务空状态提示。</w:t>
      </w:r>
    </w:p>
    <w:p>
      <w:pPr>
        <w:pStyle w:val="ListBullet"/>
        <w:spacing w:after="40"/>
      </w:pPr>
      <w:r>
        <w:t>使用趋势诊断、异常告警、根因分析、OLAP、What-If 和自定义报表完成分析。</w:t>
      </w:r>
    </w:p>
    <w:p>
      <w:pPr>
        <w:pStyle w:val="Heading1"/>
      </w:pPr>
      <w:r>
        <w:t>7. 运维培训</w:t>
      </w:r>
    </w:p>
    <w:p>
      <w:pPr>
        <w:pStyle w:val="ListNumber"/>
        <w:spacing w:after="60"/>
      </w:pPr>
      <w:r>
        <w:t>执行 ./ops/health-check.sh 检查服务。</w:t>
      </w:r>
    </w:p>
    <w:p>
      <w:pPr>
        <w:pStyle w:val="ListNumber"/>
        <w:spacing w:after="60"/>
      </w:pPr>
      <w:r>
        <w:t>查看性能汇总、采样记录和运行告警。</w:t>
      </w:r>
    </w:p>
    <w:p>
      <w:pPr>
        <w:pStyle w:val="ListNumber"/>
        <w:spacing w:after="60"/>
      </w:pPr>
      <w:r>
        <w:t>根据告警级别执行限流、重启、扩容或故障预案。</w:t>
      </w:r>
    </w:p>
    <w:p>
      <w:pPr>
        <w:pStyle w:val="ListNumber"/>
        <w:spacing w:after="60"/>
      </w:pPr>
      <w:r>
        <w:t>确认备份、恢复、日志轮转和审计记录。</w:t>
      </w:r>
    </w:p>
    <w:p>
      <w:pPr>
        <w:pStyle w:val="ListNumber"/>
        <w:spacing w:after="60"/>
      </w:pPr>
      <w:r>
        <w:t>每月整理可用率、故障和告警统计。</w:t>
      </w:r>
    </w:p>
    <w:p>
      <w:pPr>
        <w:pStyle w:val="Heading1"/>
      </w:pPr>
      <w:r>
        <w:t>8. 现场演示清单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402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演示内容</w:t>
            </w:r>
          </w:p>
        </w:tc>
        <w:tc>
          <w:tcPr>
            <w:tcW w:type="dxa" w:w="4535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登录与权限</w:t>
            </w:r>
          </w:p>
        </w:tc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菜单和接口权限符合角色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导入与清洗</w:t>
            </w:r>
          </w:p>
        </w:tc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数据预览、清洗结果可下载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标注与质量</w:t>
            </w:r>
          </w:p>
        </w:tc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标注、审核、仲裁形成闭环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预测与评估</w:t>
            </w:r>
          </w:p>
        </w:tc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训练、预测、评估、发布可追溯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趋势与报表</w:t>
            </w:r>
          </w:p>
        </w:tc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图表切换并使用真实数据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6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安全与运维</w:t>
            </w:r>
          </w:p>
        </w:tc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扫描、审计、备份恢复成功</w:t>
            </w:r>
          </w:p>
        </w:tc>
      </w:tr>
    </w:tbl>
    <w:p>
      <w:pPr>
        <w:spacing w:after="40"/>
      </w:pPr>
    </w:p>
    <w:p>
      <w:pPr>
        <w:pStyle w:val="Heading1"/>
      </w:pPr>
      <w:r>
        <w:t>9. 常见问题</w:t>
      </w:r>
    </w:p>
    <w:p>
      <w:pPr>
        <w:pStyle w:val="ListBullet"/>
        <w:spacing w:after="40"/>
      </w:pPr>
      <w:r>
        <w:t>页面提示 Unauthorized：清理浏览器旧 Token 后重新登录。</w:t>
      </w:r>
    </w:p>
    <w:p>
      <w:pPr>
        <w:pStyle w:val="ListBullet"/>
        <w:spacing w:after="40"/>
      </w:pPr>
      <w:r>
        <w:t>Python 未启用：确认 5001 端口、虚拟环境和 DL_ENGINE_ENABLED=true。</w:t>
      </w:r>
    </w:p>
    <w:p>
      <w:pPr>
        <w:pStyle w:val="ListBullet"/>
        <w:spacing w:after="40"/>
      </w:pPr>
      <w:r>
        <w:t>偏差没有样本：需要预测日期对应的实际值，未来没有实际值时显示空状态是正常业务结果。</w:t>
      </w:r>
    </w:p>
    <w:p>
      <w:pPr>
        <w:pStyle w:val="ListBullet"/>
        <w:spacing w:after="40"/>
      </w:pPr>
      <w:r>
        <w:t>前端子路由 404：生产 Nginx 配置 SPA fallback 到 index.html。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86909C"/>
        <w:sz w:val="16"/>
      </w:rPr>
      <w:t>RIver AGI  |  内部交付资料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65DF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