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65DFF"/>
          <w:sz w:val="44"/>
        </w:rPr>
        <w:t>RIver AGI 项目变更记录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变更编号</w:t>
            </w:r>
          </w:p>
        </w:tc>
        <w:tc>
          <w:tcPr>
            <w:tcW w:type="dxa" w:w="1205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205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变更类型</w:t>
            </w:r>
          </w:p>
        </w:tc>
        <w:tc>
          <w:tcPr>
            <w:tcW w:type="dxa" w:w="1205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变更内容</w:t>
            </w:r>
          </w:p>
        </w:tc>
        <w:tc>
          <w:tcPr>
            <w:tcW w:type="dxa" w:w="1205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影响范围</w:t>
            </w:r>
          </w:p>
        </w:tc>
        <w:tc>
          <w:tcPr>
            <w:tcW w:type="dxa" w:w="1205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影响评估</w:t>
            </w:r>
          </w:p>
        </w:tc>
        <w:tc>
          <w:tcPr>
            <w:tcW w:type="dxa" w:w="1205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审批人</w:t>
            </w:r>
          </w:p>
        </w:tc>
        <w:tc>
          <w:tcPr>
            <w:tcW w:type="dxa" w:w="1205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生效版本</w:t>
            </w:r>
          </w:p>
        </w:tc>
      </w:tr>
      <w:tr>
        <w:tc>
          <w:tcPr>
            <w:tcW w:type="dxa" w:w="1205"/>
          </w:tcPr>
          <w:p>
            <w:r>
              <w:t>CHG-001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205"/>
          </w:tcPr>
          <w:p>
            <w:r>
              <w:t>需求/设计/代码/部署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</w:tbl>
    <w:p>
      <w:pPr>
        <w:spacing w:after="40"/>
      </w:pPr>
    </w:p>
    <w:p>
      <w:r>
        <w:t>所有变更应关联需求、设计、代码、测试和发布证据；重大变更必须经双方项目负责人或高层确认后执行。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b w:val="0"/>
        <w:color w:val="86909C"/>
        <w:sz w:val="16"/>
      </w:rPr>
      <w:t>RIver AGI | 项目管理交付模板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PingFang SC" w:hAnsi="PingFang SC" w:eastAsia="PingFang SC"/>
      <w:color w:val="4E59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65D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