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测试计划</w:t>
      </w:r>
    </w:p>
    <w:p>
      <w:pPr>
        <w:pStyle w:val="Heading1"/>
      </w:pPr>
      <w:r>
        <w:t>1. 测试范围</w:t>
      </w:r>
    </w:p>
    <w:p>
      <w:r>
        <w:t>覆盖功能、接口、权限、安全、数据、模型训练/预测、性能、稳定性、备份恢复、兼容性和回归测试。</w:t>
      </w:r>
    </w:p>
    <w:p>
      <w:pPr>
        <w:pStyle w:val="Heading1"/>
      </w:pPr>
      <w:r>
        <w:t>2. 测试阶段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入口/输出</w:t>
            </w:r>
          </w:p>
        </w:tc>
      </w:tr>
      <w:tr>
        <w:tc>
          <w:tcPr>
            <w:tcW w:type="dxa" w:w="3213"/>
          </w:tcPr>
          <w:p>
            <w:r>
              <w:t>单元测试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Java 服务、算法、Python 引擎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Maven Surefire、pytest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接口测试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登录后核心 REST API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QA 脚本、接口测试记录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集成测试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Java-MySQL-Python-前端联调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联调报告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端到端测试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真实业务闭环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现场验收记录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性能测试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200 并发、响应、数据规模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压测报告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安全测试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权限、扫描、依赖漏洞、渗透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安全报告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恢复测试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备份、恢复、数据完整性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恢复演练报告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通过标准</w:t>
      </w:r>
    </w:p>
    <w:p>
      <w:r>
        <w:t>功能闭环无阻断；接口响应符合合同目标；并发和数据规模达到合同要求；安全问题完成整改；覆盖率总体不低于 80%、关键业务逻辑 100%；测试失败项有关闭记录或双方确认的遗留清单。</w:t>
      </w:r>
    </w:p>
    <w:p>
      <w:pPr>
        <w:pStyle w:val="Heading1"/>
      </w:pPr>
      <w:r>
        <w:t>4. 测试环境与数据</w:t>
      </w:r>
    </w:p>
    <w:p>
      <w:r>
        <w:t>测试环境使用 MySQL、Java 8080、Python 5001、前端 3000；数据使用 `test-data/` 中的脱敏验收数据。生产压测必须在目标硬件、目标数据规模和目标部署拓扑执行。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