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65DFF"/>
          <w:sz w:val="48"/>
        </w:rPr>
        <w:t>RIver AGI 用户操作手册</w:t>
      </w:r>
    </w:p>
    <w:p>
      <w:pPr>
        <w:spacing w:after="300"/>
        <w:jc w:val="center"/>
      </w:pPr>
      <w:r>
        <w:rPr>
          <w:rFonts w:ascii="PingFang SC" w:hAnsi="PingFang SC" w:eastAsia="PingFang SC"/>
          <w:b w:val="0"/>
          <w:color w:val="4E5969"/>
          <w:sz w:val="22"/>
        </w:rPr>
        <w:t>管理员、业务人员的数据标注与需求预测操作指南</w:t>
      </w:r>
    </w:p>
    <w:p>
      <w:pPr>
        <w:pStyle w:val="Heading1"/>
      </w:pPr>
      <w:r>
        <w:t>1. 登录与基础规则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vAlign w:val="center"/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前端地址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http://127.0.0.1:3000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测试账号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admin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数据规则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先导入并解析数据集，再进入标注、趋势和预测页面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安全要求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生产必须使用正式账号并更换默认密码</w:t>
            </w:r>
          </w:p>
        </w:tc>
      </w:tr>
    </w:tbl>
    <w:p>
      <w:pPr>
        <w:spacing w:after="40"/>
      </w:pPr>
    </w:p>
    <w:p>
      <w:pPr>
        <w:pStyle w:val="Heading1"/>
      </w:pPr>
      <w:r>
        <w:t>2. 数据采集与标注</w:t>
      </w:r>
    </w:p>
    <w:p>
      <w:pPr>
        <w:pStyle w:val="ListNumber"/>
      </w:pPr>
      <w:r>
        <w:t>进入多源数据导入，上传数据并等待解析。</w:t>
      </w:r>
    </w:p>
    <w:p>
      <w:pPr>
        <w:pStyle w:val="ListNumber"/>
      </w:pPr>
      <w:r>
        <w:t>打开预览，创建清洗任务并执行清洗预览和应用。</w:t>
      </w:r>
    </w:p>
    <w:p>
      <w:pPr>
        <w:pStyle w:val="ListNumber"/>
      </w:pPr>
      <w:r>
        <w:t>进入标注任务配置，选择标签、规则、协同方式和抽检规则。</w:t>
      </w:r>
    </w:p>
    <w:p>
      <w:pPr>
        <w:pStyle w:val="ListNumber"/>
      </w:pPr>
      <w:r>
        <w:t>派发任务后进入独立工作台，完成标注、提交或争议标记。</w:t>
      </w:r>
    </w:p>
    <w:p>
      <w:pPr>
        <w:pStyle w:val="ListNumber"/>
      </w:pPr>
      <w:r>
        <w:t>在质量中心完成自动校验、审核、抽检、一致性检查、纠偏和仲裁。</w:t>
      </w:r>
    </w:p>
    <w:p>
      <w:pPr>
        <w:pStyle w:val="ListNumber"/>
      </w:pPr>
      <w:r>
        <w:t>完成验收后导出最终标注结果。</w:t>
      </w:r>
    </w:p>
    <w:p>
      <w:pPr>
        <w:pStyle w:val="Heading1"/>
      </w:pPr>
      <w:r>
        <w:t>3. 需求预测</w:t>
      </w:r>
    </w:p>
    <w:p>
      <w:pPr>
        <w:pStyle w:val="ListNumber"/>
      </w:pPr>
      <w:r>
        <w:t>选择已解析数据集并新建预测任务。</w:t>
      </w:r>
    </w:p>
    <w:p>
      <w:pPr>
        <w:pStyle w:val="ListNumber"/>
      </w:pPr>
      <w:r>
        <w:t>选择时序、回归、分类或深度序列模型以及 TensorFlow/PyTorch。</w:t>
      </w:r>
    </w:p>
    <w:p>
      <w:pPr>
        <w:pStyle w:val="ListNumber"/>
      </w:pPr>
      <w:r>
        <w:t>提交训练并查看进度、日志和结果。</w:t>
      </w:r>
    </w:p>
    <w:p>
      <w:pPr>
        <w:pStyle w:val="ListNumber"/>
      </w:pPr>
      <w:r>
        <w:t>查看 MAE、RMSE、MAPE、R²，进行偏差分析和调优。</w:t>
      </w:r>
    </w:p>
    <w:p>
      <w:pPr>
        <w:pStyle w:val="ListNumber"/>
      </w:pPr>
      <w:r>
        <w:t>执行 Retraining、A/B 测试、模型发布或回滚。</w:t>
      </w:r>
    </w:p>
    <w:p>
      <w:pPr>
        <w:pStyle w:val="Heading1"/>
      </w:pPr>
      <w:r>
        <w:t>4. 趋势、安全和备份</w:t>
      </w:r>
    </w:p>
    <w:p>
      <w:pPr>
        <w:pStyle w:val="ListBullet"/>
      </w:pPr>
      <w:r>
        <w:t>趋势看板默认显示趋势折线，可切换柱状、散点和饼图。</w:t>
      </w:r>
    </w:p>
    <w:p>
      <w:pPr>
        <w:pStyle w:val="ListBullet"/>
      </w:pPr>
      <w:r>
        <w:t>权限管理：创建角色 → 授权 → 重新登录验证。</w:t>
      </w:r>
    </w:p>
    <w:p>
      <w:pPr>
        <w:pStyle w:val="ListBullet"/>
      </w:pPr>
      <w:r>
        <w:t>安全扫描：扫描 → 查看风险 → 脱敏 → 审计追溯。</w:t>
      </w:r>
    </w:p>
    <w:p>
      <w:pPr>
        <w:pStyle w:val="ListBullet"/>
      </w:pPr>
      <w:r>
        <w:t>备份恢复：创建备份 → 查看完成 → 隔离恢复 → 数据抽查。</w:t>
      </w:r>
    </w:p>
    <w:p>
      <w:pPr>
        <w:pStyle w:val="Heading1"/>
      </w:pPr>
      <w:r>
        <w:t>5. 常见问题</w:t>
      </w:r>
    </w:p>
    <w:p>
      <w:pPr>
        <w:pStyle w:val="ListBullet"/>
      </w:pPr>
      <w:r>
        <w:t>Unauthorized：清理浏览器旧 Token 后重新登录。</w:t>
      </w:r>
    </w:p>
    <w:p>
      <w:pPr>
        <w:pStyle w:val="ListBullet"/>
      </w:pPr>
      <w:r>
        <w:t>深度学习不可用：确认 Python 5001 健康且 DL_ENGINE_ENABLED=true。</w:t>
      </w:r>
    </w:p>
    <w:p>
      <w:pPr>
        <w:pStyle w:val="ListBullet"/>
      </w:pPr>
      <w:r>
        <w:t>偏差无样本：没有对应实际值时显示空状态属于正常业务结果。</w:t>
      </w:r>
    </w:p>
    <w:p>
      <w:pPr>
        <w:pStyle w:val="ListBullet"/>
      </w:pPr>
      <w:r>
        <w:t>刷新子路由 404：生产 Nginx 配置 SPA fallback 到 index.html。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86909C"/>
        <w:sz w:val="16"/>
      </w:rPr>
      <w:t>RIver AGI | 项目交付文档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