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165DFF"/>
          <w:sz w:val="44"/>
        </w:rPr>
        <w:t>RIver AGI 详细项目计划（模板）</w:t>
      </w:r>
    </w:p>
    <w:p>
      <w:pPr>
        <w:pStyle w:val="Heading1"/>
      </w:pPr>
      <w:r>
        <w:t>一、计划基线</w:t>
      </w:r>
    </w:p>
    <w:p>
      <w:pPr>
        <w:pStyle w:val="ListBullet"/>
      </w:pPr>
      <w:r>
        <w:t>项目启动日期：____年__月__日</w:t>
      </w:r>
    </w:p>
    <w:p>
      <w:pPr>
        <w:pStyle w:val="ListBullet"/>
      </w:pPr>
      <w:r>
        <w:t>计划提交日期：____年__月__日</w:t>
      </w:r>
    </w:p>
    <w:p>
      <w:pPr>
        <w:pStyle w:val="ListBullet"/>
      </w:pPr>
      <w:r>
        <w:t>计划版本：V__</w:t>
      </w:r>
    </w:p>
    <w:p>
      <w:pPr>
        <w:pStyle w:val="ListBullet"/>
      </w:pPr>
      <w:r>
        <w:t>甲方确认日期：____年__月__日</w:t>
      </w:r>
    </w:p>
    <w:p>
      <w:pPr>
        <w:pStyle w:val="Heading1"/>
      </w:pPr>
      <w:r>
        <w:t>二、里程碑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里程碑</w:t>
            </w:r>
          </w:p>
        </w:tc>
        <w:tc>
          <w:tcPr>
            <w:tcW w:type="dxa" w:w="2409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计划完成时间</w:t>
            </w:r>
          </w:p>
        </w:tc>
        <w:tc>
          <w:tcPr>
            <w:tcW w:type="dxa" w:w="2409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输出物</w:t>
            </w:r>
          </w:p>
        </w:tc>
        <w:tc>
          <w:tcPr>
            <w:tcW w:type="dxa" w:w="2409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验收/确认方</w:t>
            </w:r>
          </w:p>
        </w:tc>
      </w:tr>
      <w:tr>
        <w:tc>
          <w:tcPr>
            <w:tcW w:type="dxa" w:w="2409"/>
          </w:tcPr>
          <w:p>
            <w:r>
              <w:t>启动会完成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2409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2409"/>
          </w:tcPr>
          <w:p>
            <w:r>
              <w:t>启动纪要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2409"/>
          </w:tcPr>
          <w:p>
            <w:r>
              <w:t>双方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  <w:tr>
        <w:tc>
          <w:tcPr>
            <w:tcW w:type="dxa" w:w="2409"/>
          </w:tcPr>
          <w:p>
            <w:r>
              <w:t>需求和原型确认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2409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2409"/>
          </w:tcPr>
          <w:p>
            <w:r>
              <w:t>需求确认记录、原型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2409"/>
          </w:tcPr>
          <w:p>
            <w:r>
              <w:t>甲方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  <w:tr>
        <w:tc>
          <w:tcPr>
            <w:tcW w:type="dxa" w:w="2409"/>
          </w:tcPr>
          <w:p>
            <w:r>
              <w:t>架构和数据库设计完成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2409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2409"/>
          </w:tcPr>
          <w:p>
            <w:r>
              <w:t>架构文档、数据库设计文档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2409"/>
          </w:tcPr>
          <w:p>
            <w:r>
              <w:t>双方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  <w:tr>
        <w:tc>
          <w:tcPr>
            <w:tcW w:type="dxa" w:w="2409"/>
          </w:tcPr>
          <w:p>
            <w:r>
              <w:t>核心功能开发完成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2409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2409"/>
          </w:tcPr>
          <w:p>
            <w:r>
              <w:t>可运行版本、接口文档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2409"/>
          </w:tcPr>
          <w:p>
            <w:r>
              <w:t>乙方自测/甲方评审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  <w:tr>
        <w:tc>
          <w:tcPr>
            <w:tcW w:type="dxa" w:w="2409"/>
          </w:tcPr>
          <w:p>
            <w:r>
              <w:t>联调和业务闭环完成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2409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2409"/>
          </w:tcPr>
          <w:p>
            <w:r>
              <w:t>联调记录、问题清单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2409"/>
          </w:tcPr>
          <w:p>
            <w:r>
              <w:t>双方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  <w:tr>
        <w:tc>
          <w:tcPr>
            <w:tcW w:type="dxa" w:w="2409"/>
          </w:tcPr>
          <w:p>
            <w:r>
              <w:t>测试完成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2409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2409"/>
          </w:tcPr>
          <w:p>
            <w:r>
              <w:t>测试报告、性能和安全报告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2409"/>
          </w:tcPr>
          <w:p>
            <w:r>
              <w:t>双方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  <w:tr>
        <w:tc>
          <w:tcPr>
            <w:tcW w:type="dxa" w:w="2409"/>
          </w:tcPr>
          <w:p>
            <w:r>
              <w:t>部署培训完成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2409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2409"/>
          </w:tcPr>
          <w:p>
            <w:r>
              <w:t>部署文档、运维手册、培训材料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2409"/>
          </w:tcPr>
          <w:p>
            <w:r>
              <w:t>甲方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  <w:tr>
        <w:tc>
          <w:tcPr>
            <w:tcW w:type="dxa" w:w="2409"/>
          </w:tcPr>
          <w:p>
            <w:r>
              <w:t>最终验收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2409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2409"/>
          </w:tcPr>
          <w:p>
            <w:r>
              <w:t>验收报告、签字文件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2409"/>
          </w:tcPr>
          <w:p>
            <w:r>
              <w:t>双方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三、任务分解与资源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928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主要任务</w:t>
            </w:r>
          </w:p>
        </w:tc>
        <w:tc>
          <w:tcPr>
            <w:tcW w:type="dxa" w:w="1928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乙方资源</w:t>
            </w:r>
          </w:p>
        </w:tc>
        <w:tc>
          <w:tcPr>
            <w:tcW w:type="dxa" w:w="1928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甲方资源</w:t>
            </w:r>
          </w:p>
        </w:tc>
        <w:tc>
          <w:tcPr>
            <w:tcW w:type="dxa" w:w="1928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输出物</w:t>
            </w:r>
          </w:p>
        </w:tc>
      </w:tr>
      <w:tr>
        <w:tc>
          <w:tcPr>
            <w:tcW w:type="dxa" w:w="1928"/>
          </w:tcPr>
          <w:p>
            <w:r>
              <w:t>需求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928"/>
          </w:tcPr>
          <w:p>
            <w:r>
              <w:t>需求澄清、范围确认、验收标准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928"/>
          </w:tcPr>
          <w:p>
            <w:r>
              <w:t>项目负责人、产品、架构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928"/>
          </w:tcPr>
          <w:p>
            <w:r>
              <w:t>项目负责人、业务代表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928"/>
          </w:tcPr>
          <w:p>
            <w:r>
              <w:t>需求确认记录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  <w:tr>
        <w:tc>
          <w:tcPr>
            <w:tcW w:type="dxa" w:w="1928"/>
          </w:tcPr>
          <w:p>
            <w:r>
              <w:t>设计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928"/>
          </w:tcPr>
          <w:p>
            <w:r>
              <w:t>架构、数据库、接口、原型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928"/>
          </w:tcPr>
          <w:p>
            <w:r>
              <w:t>架构、前后端、数据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928"/>
          </w:tcPr>
          <w:p>
            <w:r>
              <w:t>技术和业务评审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928"/>
          </w:tcPr>
          <w:p>
            <w:r>
              <w:t>设计文档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  <w:tr>
        <w:tc>
          <w:tcPr>
            <w:tcW w:type="dxa" w:w="1928"/>
          </w:tcPr>
          <w:p>
            <w:r>
              <w:t>开发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928"/>
          </w:tcPr>
          <w:p>
            <w:r>
              <w:t>六大模块和配套功能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928"/>
          </w:tcPr>
          <w:p>
            <w:r>
              <w:t>前端、Java、Python、测试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928"/>
          </w:tcPr>
          <w:p>
            <w:r>
              <w:t>数据和规则确认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928"/>
          </w:tcPr>
          <w:p>
            <w:r>
              <w:t>软件版本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  <w:tr>
        <w:tc>
          <w:tcPr>
            <w:tcW w:type="dxa" w:w="1928"/>
          </w:tcPr>
          <w:p>
            <w:r>
              <w:t>联调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928"/>
          </w:tcPr>
          <w:p>
            <w:r>
              <w:t>接口、权限、数据和模型联调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928"/>
          </w:tcPr>
          <w:p>
            <w:r>
              <w:t>开发、测试、运维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928"/>
          </w:tcPr>
          <w:p>
            <w:r>
              <w:t>环境、账号、样例数据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928"/>
          </w:tcPr>
          <w:p>
            <w:r>
              <w:t>联调报告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  <w:tr>
        <w:tc>
          <w:tcPr>
            <w:tcW w:type="dxa" w:w="1928"/>
          </w:tcPr>
          <w:p>
            <w:r>
              <w:t>验收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928"/>
          </w:tcPr>
          <w:p>
            <w:r>
              <w:t>功能、性能、安全、恢复和培训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928"/>
          </w:tcPr>
          <w:p>
            <w:r>
              <w:t>测试、运维、项目负责人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928"/>
          </w:tcPr>
          <w:p>
            <w:r>
              <w:t>验收组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928"/>
          </w:tcPr>
          <w:p>
            <w:r>
              <w:t>验收报告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四、风险与预案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1928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1928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预防措施</w:t>
            </w:r>
          </w:p>
        </w:tc>
        <w:tc>
          <w:tcPr>
            <w:tcW w:type="dxa" w:w="1928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应急预案</w:t>
            </w:r>
          </w:p>
        </w:tc>
        <w:tc>
          <w:tcPr>
            <w:tcW w:type="dxa" w:w="1928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责任方</w:t>
            </w:r>
          </w:p>
        </w:tc>
      </w:tr>
      <w:tr>
        <w:tc>
          <w:tcPr>
            <w:tcW w:type="dxa" w:w="1928"/>
          </w:tcPr>
          <w:p>
            <w:r>
              <w:t>需求变更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928"/>
          </w:tcPr>
          <w:p>
            <w:r>
              <w:t>进度和范围变化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928"/>
          </w:tcPr>
          <w:p>
            <w:r>
              <w:t>变更单和影响评估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928"/>
          </w:tcPr>
          <w:p>
            <w:r>
              <w:t>双方确认后调整基线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928"/>
          </w:tcPr>
          <w:p>
            <w:r>
              <w:t>双方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  <w:tr>
        <w:tc>
          <w:tcPr>
            <w:tcW w:type="dxa" w:w="1928"/>
          </w:tcPr>
          <w:p>
            <w:r>
              <w:t>测试数据不足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928"/>
          </w:tcPr>
          <w:p>
            <w:r>
              <w:t>无法验证闭环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928"/>
          </w:tcPr>
          <w:p>
            <w:r>
              <w:t>提前准备脱敏数据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928"/>
          </w:tcPr>
          <w:p>
            <w:r>
              <w:t>使用备用数据集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928"/>
          </w:tcPr>
          <w:p>
            <w:r>
              <w:t>甲方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  <w:tr>
        <w:tc>
          <w:tcPr>
            <w:tcW w:type="dxa" w:w="1928"/>
          </w:tcPr>
          <w:p>
            <w:r>
              <w:t>生产依赖不可用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928"/>
          </w:tcPr>
          <w:p>
            <w:r>
              <w:t>联调中断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928"/>
          </w:tcPr>
          <w:p>
            <w:r>
              <w:t>提前确认 MySQL、存储和网络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928"/>
          </w:tcPr>
          <w:p>
            <w:r>
              <w:t>切换测试环境并记录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928"/>
          </w:tcPr>
          <w:p>
            <w:r>
              <w:t>双方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  <w:tr>
        <w:tc>
          <w:tcPr>
            <w:tcW w:type="dxa" w:w="1928"/>
          </w:tcPr>
          <w:p>
            <w:r>
              <w:t>模型训练失败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928"/>
          </w:tcPr>
          <w:p>
            <w:r>
              <w:t>预测链路阻塞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928"/>
          </w:tcPr>
          <w:p>
            <w:r>
              <w:t>保留 Java 算法和重试机制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928"/>
          </w:tcPr>
          <w:p>
            <w:r>
              <w:t>保存日志、修复后重训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928"/>
          </w:tcPr>
          <w:p>
            <w:r>
              <w:t>乙方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  <w:tr>
        <w:tc>
          <w:tcPr>
            <w:tcW w:type="dxa" w:w="1928"/>
          </w:tcPr>
          <w:p>
            <w:r>
              <w:t>性能不达标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928"/>
          </w:tcPr>
          <w:p>
            <w:r>
              <w:t>验收延期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928"/>
          </w:tcPr>
          <w:p>
            <w:r>
              <w:t>提前压测和容量评估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928"/>
          </w:tcPr>
          <w:p>
            <w:r>
              <w:t>优化、扩容、调整部署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928"/>
          </w:tcPr>
          <w:p>
            <w:r>
              <w:t>乙方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  <w:tr>
        <w:tc>
          <w:tcPr>
            <w:tcW w:type="dxa" w:w="1928"/>
          </w:tcPr>
          <w:p>
            <w:r>
              <w:t>安全问题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928"/>
          </w:tcPr>
          <w:p>
            <w:r>
              <w:t>上线风险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928"/>
          </w:tcPr>
          <w:p>
            <w:r>
              <w:t>密钥、权限、扫描和审计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928"/>
          </w:tcPr>
          <w:p>
            <w:r>
              <w:t>隔离、修复、复测和升级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928"/>
          </w:tcPr>
          <w:p>
            <w:r>
              <w:t>双方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五、变更控制</w:t>
      </w:r>
    </w:p>
    <w:p>
      <w:r>
        <w:t>所有范围、需求、接口、计划或验收标准变更，应记录变更原因、影响、工作量、工期、责任方和双方确认意见。未经确认不得直接改变项目基线。</w:t>
      </w:r>
    </w:p>
    <w:p>
      <w:pPr>
        <w:pStyle w:val="Heading1"/>
      </w:pPr>
      <w:r>
        <w:t>六、甲方确认</w:t>
      </w:r>
    </w:p>
    <w:p>
      <w:r>
        <w:t>甲方项目负责人：____________  日期：____年__月__日</w:t>
      </w:r>
    </w:p>
    <w:p>
      <w:r>
        <w:t>乙方项目负责人：____________  日期：____年__月__日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SC" w:hAnsi="PingFang SC" w:eastAsia="PingFang SC"/>
        <w:b w:val="0"/>
        <w:color w:val="86909C"/>
        <w:sz w:val="16"/>
      </w:rPr>
      <w:t>RIver AGI | 项目管理交付模板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PingFang SC" w:hAnsi="PingFang SC" w:eastAsia="PingFang SC"/>
      <w:color w:val="4E596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1D212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165DF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D212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