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需求变更记录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提出日期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提出方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变更原因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影响评估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处理决定</w:t>
            </w:r>
          </w:p>
        </w:tc>
        <w:tc>
          <w:tcPr>
            <w:tcW w:type="dxa" w:w="1205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确认日期</w:t>
            </w:r>
          </w:p>
        </w:tc>
      </w:tr>
      <w:tr>
        <w:tc>
          <w:tcPr>
            <w:tcW w:type="dxa" w:w="1205"/>
          </w:tcPr>
          <w:p>
            <w:r>
              <w:t>CR-001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>
              <w:t>范围/工期/成本/风险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>
              <w:t>待确认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变更审批要求</w:t>
      </w:r>
    </w:p>
    <w:p>
      <w:r>
        <w:t>所有需求、范围、接口、数据、验收标准或里程碑变更，必须记录影响评估，经双方项目负责人确认后执行。重大变更需双方高层确认，并同步更新需求、计划、测试和验收资料。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