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UI 设计说明书</w:t>
      </w:r>
    </w:p>
    <w:p>
      <w:pPr>
        <w:pStyle w:val="Heading1"/>
      </w:pPr>
      <w:r>
        <w:t>1. 设计原则</w:t>
      </w:r>
    </w:p>
    <w:p>
      <w:r>
        <w:t>采用克制的 B 端科技商务风，效率优先、层级清晰、组件统一、反馈完整。侧边导航、顶部导航、内容区使用统一栅格和间距，避免静态展示冒充业务功能。</w:t>
      </w:r>
    </w:p>
    <w:p>
      <w:pPr>
        <w:pStyle w:val="Heading1"/>
      </w:pPr>
      <w:r>
        <w:t>2. 视觉规范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4819"/>
          </w:tcPr>
          <w:p>
            <w:r>
              <w:t>主色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`#165DFF`；hover `#E8F3FF`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背景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`#FFFFFF`、`#F7F8FA`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边框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`#E5E6EB`；卡片圆角 8px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正文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`#4E5969`；标题 `#1D2129`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字体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`-apple-system`、PingFang SC、Microsoft YaHei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栅格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24 列，模块间距 16px，页面内边距 24px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反馈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加载、成功、失败、空数据、禁用、hover 均有明确状态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页面结构</w:t>
      </w:r>
    </w:p>
    <w:p>
      <w:r>
        <w:t>六大模块均采用独立 Vue 页面和路由；业务主页面承载执行动作，规则/模型/安全配置进入独立后台页面。图表、表格、上传区、步骤条、状态标签和弹窗使用统一组件规范。</w:t>
      </w:r>
    </w:p>
    <w:p>
      <w:pPr>
        <w:pStyle w:val="Heading1"/>
      </w:pPr>
      <w:r>
        <w:t>4. 关键交互</w:t>
      </w:r>
    </w:p>
    <w:p>
      <w:pPr>
        <w:pStyle w:val="ListBullet"/>
      </w:pPr>
      <w:r>
        <w:t>数据页面：上传→解析→预览→清洗→任务配置→工作台→质检→导出。</w:t>
      </w:r>
    </w:p>
    <w:p>
      <w:pPr>
        <w:pStyle w:val="ListBullet"/>
      </w:pPr>
      <w:r>
        <w:t>预测页面：数据集→模型/框架→训练进度→预测结果→评估→A/B→发布/回滚。</w:t>
      </w:r>
    </w:p>
    <w:p>
      <w:pPr>
        <w:pStyle w:val="ListBullet"/>
      </w:pPr>
      <w:r>
        <w:t>空状态必须说明原因，例如未来预测日期没有实际值时不显示偏差样本属于正常业务状态。</w:t>
      </w:r>
    </w:p>
    <w:p>
      <w:pPr>
        <w:pStyle w:val="ListBullet"/>
      </w:pPr>
      <w:r>
        <w:t>所有按钮必须有真实接口、加载态、成功/失败提示和错误恢复路径。</w:t>
      </w:r>
    </w:p>
    <w:p>
      <w:pPr>
        <w:pStyle w:val="Heading1"/>
      </w:pPr>
      <w:r>
        <w:t>5. UI 交付说明</w:t>
      </w:r>
    </w:p>
    <w:p>
      <w:r>
        <w:t>当前 UI 设计以 `frontend/src/views`、`frontend/src/components` 和 `frontend/src/assets` 为可执行源码；如甲方要求 Figma/Sketch 原始设计稿，应在项目启动阶段确认设计工具和交付格式后另行导出。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