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PingFang SC" w:hAnsi="PingFang SC" w:eastAsia="PingFang SC"/>
          <w:b/>
          <w:color w:val="165DFF"/>
          <w:sz w:val="48"/>
        </w:rPr>
        <w:t>RIver AGI 项目验收测试报告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E5969"/>
          <w:sz w:val="24"/>
        </w:rPr>
        <w:t>合同 3.1～3.6 技术、性能、稳定性、安全与质量目标对照</w:t>
      </w:r>
    </w:p>
    <w:p>
      <w:pPr>
        <w:spacing w:after="300"/>
      </w:pPr>
      <w:r>
        <w:rPr>
          <w:rFonts w:ascii="PingFang SC" w:hAnsi="PingFang SC" w:eastAsia="PingFang SC"/>
          <w:b/>
          <w:color w:val="165DFF"/>
          <w:sz w:val="18"/>
        </w:rPr>
        <w:t>版本：1.0（未签字版）    测试日期：2026年8月4日    项目：RIver AGI 数据智能分析与需求预测平台</w:t>
      </w:r>
    </w:p>
    <w:p>
      <w:pPr>
        <w:pStyle w:val="Heading1"/>
      </w:pPr>
      <w:r>
        <w:t>一、报告说明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color w:val="4E5969"/>
          <w:sz w:val="21"/>
        </w:rPr>
        <w:t>本报告用于记录当前版本在本地 MySQL 配置、Java 8080、Python 5001、Vue 3000 环境下执行的测试结果，并对合同第 3.1～3.6 条进行逐项对照。报告为未签字版，最终结论以甲方现场验收、生产环境验证和双方签字盖章版本为准。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color w:val="4E5969"/>
          <w:sz w:val="21"/>
        </w:rPr>
        <w:t>本报告仅记录真实执行结果，不将短时接口预检、单元测试或配置文件替代生产环境性能、长期可用率、等保测评和第三方安全证明。</w:t>
      </w:r>
    </w:p>
    <w:p>
      <w:pPr>
        <w:pStyle w:val="Heading1"/>
      </w:pPr>
      <w:r>
        <w:t>二、合同目标对照结论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条款</w:t>
            </w:r>
          </w:p>
        </w:tc>
        <w:tc>
          <w:tcPr>
            <w:tcW w:type="dxa" w:w="5669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本次验证结果</w:t>
            </w:r>
          </w:p>
        </w:tc>
        <w:tc>
          <w:tcPr>
            <w:tcW w:type="dxa" w:w="1984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当前判定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3.1 功能目标</w:t>
            </w:r>
          </w:p>
        </w:tc>
        <w:tc>
          <w:tcPr>
            <w:tcW w:type="dxa" w:w="56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核心模块、主要页面和认证接口已具备；18 个核心认证接口返回 200。完整业务链路仍需逐按钮留存现场记录。</w:t>
            </w:r>
          </w:p>
        </w:tc>
        <w:tc>
          <w:tcPr>
            <w:tcW w:type="dxa" w:w="198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有条件通过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3.2 技术目标</w:t>
            </w:r>
          </w:p>
        </w:tc>
        <w:tc>
          <w:tcPr>
            <w:tcW w:type="dxa" w:w="56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前后端分离、Vue、Spring Boot、Python、REST API、Swagger、Docker 配置和生产 profile 已具备。</w:t>
            </w:r>
          </w:p>
        </w:tc>
        <w:tc>
          <w:tcPr>
            <w:tcW w:type="dxa" w:w="198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基本满足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3.3 性能目标</w:t>
            </w:r>
          </w:p>
        </w:tc>
        <w:tc>
          <w:tcPr>
            <w:tcW w:type="dxa" w:w="56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200 并发健康接口预检成功；复杂业务、目标数据规模及长期可用率未在目标生产环境证明。</w:t>
            </w:r>
          </w:p>
        </w:tc>
        <w:tc>
          <w:tcPr>
            <w:tcW w:type="dxa" w:w="198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待现场验证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3.4 稳定性目标</w:t>
            </w:r>
          </w:p>
        </w:tc>
        <w:tc>
          <w:tcPr>
            <w:tcW w:type="dxa" w:w="56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健康检查、日志、监控、告警、备份和重启策略已具备；高可用自动切换尚未完成现场演练。</w:t>
            </w:r>
          </w:p>
        </w:tc>
        <w:tc>
          <w:tcPr>
            <w:tcW w:type="dxa" w:w="198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有条件通过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3.5 安全目标</w:t>
            </w:r>
          </w:p>
        </w:tc>
        <w:tc>
          <w:tcPr>
            <w:tcW w:type="dxa" w:w="56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JWT、RBAC、BCrypt、审计、安全扫描和生产加密配置已具备；等保二级和第三方测评未完成。</w:t>
            </w:r>
          </w:p>
        </w:tc>
        <w:tc>
          <w:tcPr>
            <w:tcW w:type="dxa" w:w="198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待第三方/现场验证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3.6 质量目标</w:t>
            </w:r>
          </w:p>
        </w:tc>
        <w:tc>
          <w:tcPr>
            <w:tcW w:type="dxa" w:w="56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Java、Python 测试和前端构建通过；覆盖率 80%、关键逻辑 100%、静态扫描和漏洞报告尚未形成完整证明。</w:t>
            </w:r>
          </w:p>
        </w:tc>
        <w:tc>
          <w:tcPr>
            <w:tcW w:type="dxa" w:w="1984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待补充证据</w:t>
            </w:r>
          </w:p>
        </w:tc>
      </w:tr>
    </w:tbl>
    <w:p>
      <w:pPr>
        <w:spacing w:after="40"/>
      </w:pPr>
    </w:p>
    <w:p>
      <w:pPr>
        <w:pStyle w:val="Heading1"/>
      </w:pPr>
      <w:r>
        <w:t>三、已执行测试与结果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2835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402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证据文件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前端生产构建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通过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frontend-build.txt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Java 单元测试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通过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java-tests.txt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Python 测试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通过：4 passed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python-tests.txt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前端健康检查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HTTP 200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environment-health.txt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Java 健康检查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HTTP 200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environment-health.txt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Python 健康检查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HTTP 200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environment-health.txt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管理员登录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HTTP 200，Token 正常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authenticated-api-check.txt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核心认证接口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18/18 返回 HTTP 200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authenticated-api-check.txt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浏览器登录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成功进入 Dashboard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browser-login-check.txt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浏览器错误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控制台 0 错误，4xx/5xx 0 个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browser-login-check.txt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安全基线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通过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security-baseline.txt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200 并发健康接口预检</w:t>
            </w:r>
          </w:p>
        </w:tc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200/200 成功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performance-200-concurrency.txt</w:t>
            </w:r>
          </w:p>
        </w:tc>
      </w:tr>
    </w:tbl>
    <w:p>
      <w:pPr>
        <w:spacing w:after="40"/>
      </w:pPr>
    </w:p>
    <w:p>
      <w:pPr>
        <w:pStyle w:val="Heading1"/>
      </w:pPr>
      <w:r>
        <w:t>四、功能闭环验收范围</w:t>
      </w:r>
    </w:p>
    <w:p>
      <w:pPr>
        <w:pStyle w:val="Heading2"/>
      </w:pPr>
      <w:r>
        <w:t>4.1 数据采集与标注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color w:val="4E5969"/>
          <w:sz w:val="21"/>
        </w:rPr>
        <w:t>目标流程：数据导入 → 解析预览 → 清洗 → 标签配置 → 任务派发 → 独立工作台标注 → 在线校验 → 质量审核 → 抽检 → 一致性检查 → 仲裁纠偏 → 导出。</w:t>
      </w:r>
    </w:p>
    <w:p>
      <w:pPr>
        <w:pStyle w:val="Heading2"/>
      </w:pPr>
      <w:r>
        <w:t>4.2 需求预测与模型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color w:val="4E5969"/>
          <w:sz w:val="21"/>
        </w:rPr>
        <w:t>目标流程：选择数据集 → 创建预测任务 → 选择模型与 TensorFlow/PyTorch → 训练 → 查询进度 → 生成预测 → 评估 → 偏差分析 → 自动/手动调优 → Retraining → A/B 测试 → 发布/回滚。</w:t>
      </w:r>
    </w:p>
    <w:p>
      <w:pPr>
        <w:pStyle w:val="Heading2"/>
      </w:pPr>
      <w:r>
        <w:t>4.3 安全与运维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color w:val="4E5969"/>
          <w:sz w:val="21"/>
        </w:rPr>
        <w:t>目标流程：角色创建 → 权限授权 → 权限生效 → 安全扫描 → 风险查看 → 审计追溯 → 备份创建 → 恢复验证。</w:t>
      </w:r>
    </w:p>
    <w:p>
      <w:pPr>
        <w:spacing w:after="120" w:line="276" w:lineRule="auto"/>
      </w:pPr>
      <w:r>
        <w:rPr>
          <w:rFonts w:ascii="PingFang SC" w:hAnsi="PingFang SC" w:eastAsia="PingFang SC"/>
          <w:b/>
          <w:color w:val="4E5969"/>
          <w:sz w:val="21"/>
        </w:rPr>
        <w:t>说明：本次已完成接口级验证；以上完整业务链路的逐按钮、真实数据和操作人记录，需由甲方在现场验收时补充签字确认。</w:t>
      </w:r>
    </w:p>
    <w:p>
      <w:pPr>
        <w:pStyle w:val="Heading1"/>
      </w:pPr>
      <w:r>
        <w:t>五、性能测试记录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969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本次结果</w:t>
            </w:r>
          </w:p>
        </w:tc>
        <w:tc>
          <w:tcPr>
            <w:tcW w:type="dxa" w:w="2268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合同目标</w:t>
            </w:r>
          </w:p>
        </w:tc>
        <w:tc>
          <w:tcPr>
            <w:tcW w:type="dxa" w:w="1701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200 并发健康接口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200/200 成功；平均 217.68ms；P95 267.33ms；最大 274.94ms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至少 200 人同时在线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预检通过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常规页面/操作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未完成全页面逐项统计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原则上 ≤1.5 秒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待现场验证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复杂数据/训练任务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未完成目标数据与生产硬件测试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≤5 秒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待现场验证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千万级存储查询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未完成目标数据规模测试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支持千万级标注数据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待现场验证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百万级实时分析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未完成目标数据规模测试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支持百万级实时分析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待现场验证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全年可用率</w:t>
            </w:r>
          </w:p>
        </w:tc>
        <w:tc>
          <w:tcPr>
            <w:tcW w:type="dxa" w:w="396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无完整年度统计周期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≥99.5%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待持续统计</w:t>
            </w:r>
          </w:p>
        </w:tc>
      </w:tr>
    </w:tbl>
    <w:p>
      <w:pPr>
        <w:spacing w:after="40"/>
      </w:pPr>
    </w:p>
    <w:p>
      <w:pPr>
        <w:pStyle w:val="Heading1"/>
      </w:pPr>
      <w:r>
        <w:t>六、未完成的现场/第三方证明项</w:t>
      </w:r>
    </w:p>
    <w:p>
      <w:pPr>
        <w:pStyle w:val="ListNumber"/>
        <w:spacing w:after="60" w:line="264" w:lineRule="auto"/>
      </w:pPr>
      <w:r>
        <w:rPr>
          <w:rFonts w:ascii="PingFang SC" w:hAnsi="PingFang SC" w:eastAsia="PingFang SC"/>
          <w:color w:val="4E5969"/>
          <w:sz w:val="20"/>
        </w:rPr>
        <w:t>在目标生产硬件上完成全业务 200 并发和页面/复杂任务响应时间测试。</w:t>
      </w:r>
    </w:p>
    <w:p>
      <w:pPr>
        <w:pStyle w:val="ListNumber"/>
        <w:spacing w:after="60" w:line="264" w:lineRule="auto"/>
      </w:pPr>
      <w:r>
        <w:rPr>
          <w:rFonts w:ascii="PingFang SC" w:hAnsi="PingFang SC" w:eastAsia="PingFang SC"/>
          <w:color w:val="4E5969"/>
          <w:sz w:val="20"/>
        </w:rPr>
        <w:t>使用千万级标注数据和百万级分析数据完成存储、查询、实时分析验证。</w:t>
      </w:r>
    </w:p>
    <w:p>
      <w:pPr>
        <w:pStyle w:val="ListNumber"/>
        <w:spacing w:after="60" w:line="264" w:lineRule="auto"/>
      </w:pPr>
      <w:r>
        <w:rPr>
          <w:rFonts w:ascii="PingFang SC" w:hAnsi="PingFang SC" w:eastAsia="PingFang SC"/>
          <w:color w:val="4E5969"/>
          <w:sz w:val="20"/>
        </w:rPr>
        <w:t>完成 Java、Python、MySQL 故障注入、自动恢复、主从/多实例切换演练。</w:t>
      </w:r>
    </w:p>
    <w:p>
      <w:pPr>
        <w:pStyle w:val="ListNumber"/>
        <w:spacing w:after="60" w:line="264" w:lineRule="auto"/>
      </w:pPr>
      <w:r>
        <w:rPr>
          <w:rFonts w:ascii="PingFang SC" w:hAnsi="PingFang SC" w:eastAsia="PingFang SC"/>
          <w:color w:val="4E5969"/>
          <w:sz w:val="20"/>
        </w:rPr>
        <w:t>上线后持续记录可用率，形成月度停机统计和年度可用率报告。</w:t>
      </w:r>
    </w:p>
    <w:p>
      <w:pPr>
        <w:pStyle w:val="ListNumber"/>
        <w:spacing w:after="60" w:line="264" w:lineRule="auto"/>
      </w:pPr>
      <w:r>
        <w:rPr>
          <w:rFonts w:ascii="PingFang SC" w:hAnsi="PingFang SC" w:eastAsia="PingFang SC"/>
          <w:color w:val="4E5969"/>
          <w:sz w:val="20"/>
        </w:rPr>
        <w:t>执行 JaCoCo 覆盖率检查，证明总体覆盖率不低于 80%，关键业务逻辑达到 100%。</w:t>
      </w:r>
    </w:p>
    <w:p>
      <w:pPr>
        <w:pStyle w:val="ListNumber"/>
        <w:spacing w:after="60" w:line="264" w:lineRule="auto"/>
      </w:pPr>
      <w:r>
        <w:rPr>
          <w:rFonts w:ascii="PingFang SC" w:hAnsi="PingFang SC" w:eastAsia="PingFang SC"/>
          <w:color w:val="4E5969"/>
          <w:sz w:val="20"/>
        </w:rPr>
        <w:t>完成静态代码检查、依赖漏洞扫描、渗透测试和安全整改闭环。</w:t>
      </w:r>
    </w:p>
    <w:p>
      <w:pPr>
        <w:pStyle w:val="ListNumber"/>
        <w:spacing w:after="60" w:line="264" w:lineRule="auto"/>
      </w:pPr>
      <w:r>
        <w:rPr>
          <w:rFonts w:ascii="PingFang SC" w:hAnsi="PingFang SC" w:eastAsia="PingFang SC"/>
          <w:color w:val="4E5969"/>
          <w:sz w:val="20"/>
        </w:rPr>
        <w:t>由具备资质的第三方完成等保二级或以上测评并取得正式材料。</w:t>
      </w:r>
    </w:p>
    <w:p>
      <w:pPr>
        <w:pStyle w:val="ListNumber"/>
        <w:spacing w:after="60" w:line="264" w:lineRule="auto"/>
      </w:pPr>
      <w:r>
        <w:rPr>
          <w:rFonts w:ascii="PingFang SC" w:hAnsi="PingFang SC" w:eastAsia="PingFang SC"/>
          <w:color w:val="4E5969"/>
          <w:sz w:val="20"/>
        </w:rPr>
        <w:t>由甲方逐项执行并确认三类完整业务闭环，补充操作截图、任务编号、开始/结束时间和验收人。</w:t>
      </w:r>
    </w:p>
    <w:p>
      <w:pPr>
        <w:pStyle w:val="Heading1"/>
      </w:pPr>
      <w:r>
        <w:t>七、交付物清单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236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路径/状态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项目源码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项目 backend/、frontend/、qa/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部署文档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docs/RIver_AGI_部署文档.docx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运维手册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docs/RIver_AGI_运维手册.docx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培训材料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docs/RIver_AGI_培训材料.docx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监控告警方案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docs/监控告警方案.md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故障应急预案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docs/故障应急预案.md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本次验收原始证据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qa-results/acceptance-20260804-112610/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健康检查脚本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ops/health-check.sh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性能预检脚本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qa/performance_smoke.py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安全基线脚本</w:t>
            </w:r>
          </w:p>
        </w:tc>
        <w:tc>
          <w:tcPr>
            <w:tcW w:type="dxa" w:w="62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ops/security-baseline.sh</w:t>
            </w:r>
          </w:p>
        </w:tc>
      </w:tr>
    </w:tbl>
    <w:p>
      <w:pPr>
        <w:spacing w:after="40"/>
      </w:pPr>
    </w:p>
    <w:p>
      <w:pPr>
        <w:pStyle w:val="Heading1"/>
      </w:pPr>
      <w:r>
        <w:t>八、未签字确认页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color w:val="4E5969"/>
          <w:sz w:val="21"/>
        </w:rPr>
        <w:t>甲方确认：已收到本报告及相关测试证据，并同意根据第六节安排现场/第三方验证。最终验收结论以双方签字盖章的正式报告为准。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甲方（盖章）</w:t>
            </w:r>
          </w:p>
        </w:tc>
        <w:tc>
          <w:tcPr>
            <w:tcW w:type="dxa" w:w="4535"/>
            <w:vAlign w:val="center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乙方（盖章）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单位：</w:t>
              <w:br/>
              <w:br/>
              <w:t>授权代表：</w:t>
              <w:br/>
              <w:br/>
              <w:t>日期：    年   月   日</w:t>
            </w:r>
          </w:p>
        </w:tc>
        <w:tc>
          <w:tcPr>
            <w:tcW w:type="dxa" w:w="45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单位：</w:t>
              <w:br/>
              <w:br/>
              <w:t>授权代表：</w:t>
              <w:br/>
              <w:br/>
              <w:t>日期：    年   月   日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PingFang SC" w:hAnsi="PingFang SC" w:eastAsia="PingFang SC"/>
          <w:b/>
          <w:color w:val="4E5969"/>
          <w:sz w:val="21"/>
        </w:rPr>
        <w:t>备注：本文件为未签字版，签字栏留空，不作为已完成最终验收的单独证明。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86909C"/>
        <w:sz w:val="16"/>
      </w:rPr>
      <w:t>RIver AGI  |  项目验收测试报告（未签字版）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 AGI 项目验收测试报告（未签字版）</dc:title>
  <dc:subject>合同 3.1-3.6 目标对照与测试证据</dc:subject>
  <dc:creator>RIver AGI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